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B82F51" w:rsidRDefault="00B82F51" w:rsidP="005A72D5">
      <w:pPr>
        <w:rPr>
          <w:b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5A72D5" w:rsidRDefault="00EA2B35" w:rsidP="00892258">
      <w:pPr>
        <w:jc w:val="center"/>
        <w:rPr>
          <w:b/>
          <w:sz w:val="28"/>
          <w:szCs w:val="28"/>
        </w:rPr>
      </w:pPr>
      <w:r w:rsidRPr="00C346B5">
        <w:rPr>
          <w:b/>
          <w:sz w:val="28"/>
          <w:szCs w:val="28"/>
        </w:rPr>
        <w:t>Об утверждении муниципальной программы «</w:t>
      </w:r>
      <w:r w:rsidR="005A72D5">
        <w:rPr>
          <w:b/>
          <w:sz w:val="28"/>
          <w:szCs w:val="28"/>
        </w:rPr>
        <w:t>Доступная среда»</w:t>
      </w:r>
    </w:p>
    <w:p w:rsidR="00EA2B35" w:rsidRPr="00C346B5" w:rsidRDefault="005A72D5" w:rsidP="00892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годы</w:t>
      </w:r>
      <w:r w:rsidR="00EA2B35" w:rsidRPr="00C346B5">
        <w:rPr>
          <w:b/>
          <w:sz w:val="28"/>
          <w:szCs w:val="28"/>
        </w:rPr>
        <w:t xml:space="preserve"> </w:t>
      </w:r>
    </w:p>
    <w:p w:rsidR="00EA2B35" w:rsidRPr="00C762A8" w:rsidRDefault="00EA2B35" w:rsidP="006D1309">
      <w:pPr>
        <w:jc w:val="center"/>
        <w:rPr>
          <w:b/>
          <w:sz w:val="28"/>
          <w:szCs w:val="28"/>
        </w:rPr>
      </w:pPr>
    </w:p>
    <w:p w:rsidR="005A72D5" w:rsidRPr="00C762A8" w:rsidRDefault="005A72D5" w:rsidP="005A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62A8">
        <w:rPr>
          <w:sz w:val="28"/>
          <w:szCs w:val="28"/>
        </w:rPr>
        <w:t xml:space="preserve">В  соответствии со статьей 15 Федерального закона от 24 ноября 1995 года № 181–ФЗ «О социальной защите инвалидов в Российской Федерации», во  исполнение  закона  Краснодарского края от 27 апреля 2007 года             № 1229-КЗ «Об обеспечении беспрепятственного доступа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C762A8">
        <w:rPr>
          <w:sz w:val="28"/>
          <w:szCs w:val="28"/>
        </w:rPr>
        <w:t>маломобильным</w:t>
      </w:r>
      <w:proofErr w:type="spellEnd"/>
      <w:r w:rsidRPr="00C762A8">
        <w:rPr>
          <w:sz w:val="28"/>
          <w:szCs w:val="28"/>
        </w:rPr>
        <w:t xml:space="preserve"> гражданам для беспрепятственного доступа к</w:t>
      </w:r>
      <w:proofErr w:type="gramEnd"/>
      <w:r w:rsidRPr="00C762A8">
        <w:rPr>
          <w:sz w:val="28"/>
          <w:szCs w:val="28"/>
        </w:rPr>
        <w:t xml:space="preserve"> объектам социальной инфраструктуры в муниципальном образовании город Новороссийск,  </w:t>
      </w:r>
      <w:proofErr w:type="spellStart"/>
      <w:proofErr w:type="gramStart"/>
      <w:r w:rsidRPr="00C762A8">
        <w:rPr>
          <w:sz w:val="28"/>
          <w:szCs w:val="28"/>
        </w:rPr>
        <w:t>п</w:t>
      </w:r>
      <w:proofErr w:type="spellEnd"/>
      <w:proofErr w:type="gramEnd"/>
      <w:r w:rsidRPr="00C762A8">
        <w:rPr>
          <w:sz w:val="28"/>
          <w:szCs w:val="28"/>
        </w:rPr>
        <w:t xml:space="preserve"> о с т а </w:t>
      </w:r>
      <w:proofErr w:type="spellStart"/>
      <w:r w:rsidRPr="00C762A8">
        <w:rPr>
          <w:sz w:val="28"/>
          <w:szCs w:val="28"/>
        </w:rPr>
        <w:t>н</w:t>
      </w:r>
      <w:proofErr w:type="spellEnd"/>
      <w:r w:rsidRPr="00C762A8">
        <w:rPr>
          <w:sz w:val="28"/>
          <w:szCs w:val="28"/>
        </w:rPr>
        <w:t xml:space="preserve"> о в л я ю: </w:t>
      </w:r>
    </w:p>
    <w:p w:rsidR="00D165C9" w:rsidRPr="00C762A8" w:rsidRDefault="00D165C9" w:rsidP="006D1309">
      <w:pPr>
        <w:widowControl w:val="0"/>
        <w:autoSpaceDE w:val="0"/>
        <w:autoSpaceDN w:val="0"/>
        <w:adjustRightInd w:val="0"/>
        <w:jc w:val="both"/>
      </w:pPr>
    </w:p>
    <w:p w:rsidR="00EA2B35" w:rsidRPr="00C762A8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1. </w:t>
      </w:r>
      <w:r w:rsidR="00B82F51" w:rsidRPr="00C762A8">
        <w:rPr>
          <w:sz w:val="28"/>
          <w:szCs w:val="28"/>
        </w:rPr>
        <w:t>Утвердить</w:t>
      </w:r>
      <w:r w:rsidR="00EE7646" w:rsidRPr="00C762A8">
        <w:rPr>
          <w:sz w:val="28"/>
          <w:szCs w:val="28"/>
        </w:rPr>
        <w:t xml:space="preserve"> </w:t>
      </w:r>
      <w:r w:rsidR="005401E8" w:rsidRPr="00C762A8">
        <w:rPr>
          <w:sz w:val="28"/>
          <w:szCs w:val="28"/>
        </w:rPr>
        <w:t>муниципальн</w:t>
      </w:r>
      <w:r w:rsidR="00EE7646" w:rsidRPr="00C762A8">
        <w:rPr>
          <w:sz w:val="28"/>
          <w:szCs w:val="28"/>
        </w:rPr>
        <w:t>ую</w:t>
      </w:r>
      <w:r w:rsidR="005401E8" w:rsidRPr="00C762A8">
        <w:rPr>
          <w:sz w:val="28"/>
          <w:szCs w:val="28"/>
        </w:rPr>
        <w:t xml:space="preserve"> программ</w:t>
      </w:r>
      <w:r w:rsidR="00EE7646" w:rsidRPr="00C762A8">
        <w:rPr>
          <w:sz w:val="28"/>
          <w:szCs w:val="28"/>
        </w:rPr>
        <w:t>у</w:t>
      </w:r>
      <w:r w:rsidR="005401E8" w:rsidRPr="00C762A8">
        <w:rPr>
          <w:sz w:val="28"/>
          <w:szCs w:val="28"/>
        </w:rPr>
        <w:t xml:space="preserve"> «</w:t>
      </w:r>
      <w:r w:rsidR="005A72D5" w:rsidRPr="00C762A8">
        <w:rPr>
          <w:sz w:val="28"/>
          <w:szCs w:val="28"/>
        </w:rPr>
        <w:t>Доступная среда» на 2022-2024 годы</w:t>
      </w:r>
      <w:r w:rsidR="00B82F51" w:rsidRPr="00C762A8">
        <w:rPr>
          <w:sz w:val="28"/>
          <w:szCs w:val="28"/>
        </w:rPr>
        <w:t>.</w:t>
      </w:r>
    </w:p>
    <w:p w:rsidR="005A72D5" w:rsidRPr="00C762A8" w:rsidRDefault="005A72D5" w:rsidP="00F963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2. Утвердить паспорт муниципальной программы  «Доступная среда» на 2022-2024 годы (приложение № 1).</w:t>
      </w:r>
    </w:p>
    <w:p w:rsidR="005A72D5" w:rsidRPr="00C762A8" w:rsidRDefault="00F963EA" w:rsidP="005A72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3</w:t>
      </w:r>
      <w:r w:rsidR="005A72D5" w:rsidRPr="00C762A8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C762A8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C762A8">
        <w:rPr>
          <w:rFonts w:ascii="Times New Roman" w:hAnsi="Times New Roman" w:cs="Times New Roman"/>
          <w:b w:val="0"/>
          <w:sz w:val="28"/>
          <w:szCs w:val="28"/>
        </w:rPr>
        <w:t>Утвердить паспорт</w:t>
      </w:r>
      <w:r w:rsidR="005A72D5" w:rsidRPr="00C762A8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C762A8">
        <w:rPr>
          <w:rFonts w:ascii="Times New Roman" w:hAnsi="Times New Roman" w:cs="Times New Roman"/>
          <w:b w:val="0"/>
          <w:sz w:val="28"/>
          <w:szCs w:val="28"/>
        </w:rPr>
        <w:t>подпрограммы «Обеспечение доступности в области учреждений культуры и искусства» муниципального образования город Новороссийск на 2022-2024</w:t>
      </w:r>
      <w:r w:rsidRPr="00C762A8">
        <w:rPr>
          <w:rFonts w:ascii="Times New Roman" w:hAnsi="Times New Roman" w:cs="Times New Roman"/>
          <w:b w:val="0"/>
          <w:sz w:val="28"/>
          <w:szCs w:val="28"/>
        </w:rPr>
        <w:t xml:space="preserve"> годы (приложение № 2</w:t>
      </w:r>
      <w:r w:rsidR="005A72D5" w:rsidRPr="00C762A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A72D5" w:rsidRPr="00C762A8" w:rsidRDefault="00F963EA" w:rsidP="005A72D5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4</w:t>
      </w:r>
      <w:r w:rsidR="005A72D5" w:rsidRPr="00C762A8">
        <w:rPr>
          <w:sz w:val="28"/>
          <w:szCs w:val="28"/>
        </w:rPr>
        <w:t xml:space="preserve">. Утвердить паспорт подпрограммы «Обеспечение доступности в области транспорта  и дорожного хозяйства» муниципального образования город Новороссийск на 2022-2024 </w:t>
      </w:r>
      <w:r w:rsidRPr="00C762A8">
        <w:rPr>
          <w:sz w:val="28"/>
          <w:szCs w:val="28"/>
        </w:rPr>
        <w:t>годы (приложение № 3</w:t>
      </w:r>
      <w:r w:rsidR="005A72D5" w:rsidRPr="00C762A8">
        <w:rPr>
          <w:sz w:val="28"/>
          <w:szCs w:val="28"/>
        </w:rPr>
        <w:t>).</w:t>
      </w:r>
    </w:p>
    <w:p w:rsidR="005A72D5" w:rsidRPr="00C762A8" w:rsidRDefault="00F963EA" w:rsidP="005A72D5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5</w:t>
      </w:r>
      <w:r w:rsidR="005A72D5" w:rsidRPr="00C762A8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 w:rsidRPr="00C762A8">
        <w:rPr>
          <w:sz w:val="28"/>
          <w:szCs w:val="28"/>
        </w:rPr>
        <w:t>4</w:t>
      </w:r>
      <w:r w:rsidR="005A72D5" w:rsidRPr="00C762A8">
        <w:rPr>
          <w:sz w:val="28"/>
          <w:szCs w:val="28"/>
        </w:rPr>
        <w:t>).</w:t>
      </w:r>
    </w:p>
    <w:p w:rsidR="005A72D5" w:rsidRPr="00C762A8" w:rsidRDefault="00F963EA" w:rsidP="005A72D5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</w:t>
      </w:r>
      <w:r w:rsidRPr="00C762A8">
        <w:rPr>
          <w:sz w:val="28"/>
          <w:szCs w:val="28"/>
        </w:rPr>
        <w:tab/>
        <w:t>6</w:t>
      </w:r>
      <w:r w:rsidR="005A72D5" w:rsidRPr="00C762A8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 w:rsidRPr="00C762A8">
        <w:rPr>
          <w:sz w:val="28"/>
          <w:szCs w:val="28"/>
        </w:rPr>
        <w:t>5</w:t>
      </w:r>
      <w:r w:rsidR="005A72D5" w:rsidRPr="00C762A8">
        <w:rPr>
          <w:sz w:val="28"/>
          <w:szCs w:val="28"/>
        </w:rPr>
        <w:t>).</w:t>
      </w:r>
    </w:p>
    <w:p w:rsidR="005A72D5" w:rsidRPr="00C762A8" w:rsidRDefault="00F963EA" w:rsidP="005A72D5">
      <w:pPr>
        <w:pStyle w:val="ac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 7</w:t>
      </w:r>
      <w:r w:rsidR="005A72D5" w:rsidRPr="00C762A8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Pr="00C762A8">
        <w:rPr>
          <w:sz w:val="28"/>
          <w:szCs w:val="28"/>
        </w:rPr>
        <w:t xml:space="preserve"> годы (приложение № 6</w:t>
      </w:r>
      <w:r w:rsidR="005A72D5" w:rsidRPr="00C762A8">
        <w:rPr>
          <w:sz w:val="28"/>
          <w:szCs w:val="28"/>
        </w:rPr>
        <w:t>).</w:t>
      </w:r>
    </w:p>
    <w:p w:rsidR="00EA2B35" w:rsidRPr="00C762A8" w:rsidRDefault="00F963EA" w:rsidP="005A72D5">
      <w:pPr>
        <w:ind w:firstLine="540"/>
        <w:jc w:val="both"/>
        <w:rPr>
          <w:sz w:val="28"/>
          <w:szCs w:val="28"/>
        </w:rPr>
      </w:pPr>
      <w:r w:rsidRPr="00C762A8">
        <w:rPr>
          <w:color w:val="000000"/>
          <w:sz w:val="28"/>
          <w:szCs w:val="28"/>
        </w:rPr>
        <w:t xml:space="preserve">  8</w:t>
      </w:r>
      <w:r w:rsidR="00EA2B35" w:rsidRPr="00C762A8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C762A8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C762A8">
        <w:rPr>
          <w:color w:val="000000"/>
          <w:sz w:val="28"/>
          <w:szCs w:val="28"/>
        </w:rPr>
        <w:t>муниципального</w:t>
      </w:r>
      <w:r w:rsidR="00B82F51" w:rsidRPr="00C762A8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C762A8">
        <w:rPr>
          <w:color w:val="000000"/>
          <w:sz w:val="28"/>
          <w:szCs w:val="28"/>
        </w:rPr>
        <w:t>»</w:t>
      </w:r>
      <w:r w:rsidR="00B82F51" w:rsidRPr="00C762A8">
        <w:rPr>
          <w:color w:val="000000"/>
          <w:sz w:val="28"/>
          <w:szCs w:val="28"/>
        </w:rPr>
        <w:t>.</w:t>
      </w:r>
    </w:p>
    <w:p w:rsidR="00EA2B35" w:rsidRPr="00C762A8" w:rsidRDefault="00F963EA" w:rsidP="00AC1F25">
      <w:pPr>
        <w:ind w:firstLine="709"/>
        <w:jc w:val="both"/>
        <w:rPr>
          <w:color w:val="000000"/>
          <w:sz w:val="28"/>
          <w:szCs w:val="28"/>
        </w:rPr>
      </w:pPr>
      <w:r w:rsidRPr="00C762A8">
        <w:rPr>
          <w:sz w:val="28"/>
          <w:szCs w:val="28"/>
        </w:rPr>
        <w:t>9</w:t>
      </w:r>
      <w:r w:rsidR="00EA2B35" w:rsidRPr="00C762A8">
        <w:rPr>
          <w:sz w:val="28"/>
          <w:szCs w:val="28"/>
        </w:rPr>
        <w:t xml:space="preserve">. </w:t>
      </w:r>
      <w:proofErr w:type="gramStart"/>
      <w:r w:rsidR="00EA2B35" w:rsidRPr="00C762A8">
        <w:rPr>
          <w:color w:val="000000"/>
          <w:sz w:val="28"/>
          <w:szCs w:val="28"/>
        </w:rPr>
        <w:t>Контроль за</w:t>
      </w:r>
      <w:proofErr w:type="gramEnd"/>
      <w:r w:rsidR="00EA2B35" w:rsidRPr="00C762A8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EA2B35" w:rsidRPr="00C762A8" w:rsidRDefault="00F963EA" w:rsidP="00AC1F25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10</w:t>
      </w:r>
      <w:r w:rsidR="00EA2B35" w:rsidRPr="00C762A8">
        <w:rPr>
          <w:sz w:val="28"/>
          <w:szCs w:val="28"/>
        </w:rPr>
        <w:t xml:space="preserve">. </w:t>
      </w:r>
      <w:proofErr w:type="gramStart"/>
      <w:r w:rsidR="00EA2B35" w:rsidRPr="00C762A8">
        <w:rPr>
          <w:sz w:val="28"/>
          <w:szCs w:val="28"/>
        </w:rPr>
        <w:t>Контроль за</w:t>
      </w:r>
      <w:proofErr w:type="gramEnd"/>
      <w:r w:rsidR="00EA2B35" w:rsidRPr="00C762A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EA2B35" w:rsidRPr="00C762A8" w:rsidRDefault="00F963EA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 w:rsidRPr="00C762A8">
        <w:rPr>
          <w:sz w:val="28"/>
          <w:szCs w:val="28"/>
        </w:rPr>
        <w:t>11</w:t>
      </w:r>
      <w:r w:rsidR="00EA2B35" w:rsidRPr="00C762A8">
        <w:rPr>
          <w:sz w:val="28"/>
          <w:szCs w:val="28"/>
        </w:rPr>
        <w:t>. П</w:t>
      </w:r>
      <w:r w:rsidR="00EA2B35" w:rsidRPr="00C762A8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 w:rsidRPr="00C762A8">
        <w:rPr>
          <w:spacing w:val="2"/>
          <w:sz w:val="28"/>
          <w:szCs w:val="28"/>
        </w:rPr>
        <w:t>подписания.</w:t>
      </w:r>
    </w:p>
    <w:p w:rsidR="00EA2B35" w:rsidRPr="00C762A8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C762A8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Pr="00C762A8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Глава </w:t>
      </w:r>
    </w:p>
    <w:p w:rsidR="00EA2B35" w:rsidRPr="00C762A8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762A8">
        <w:rPr>
          <w:sz w:val="28"/>
          <w:szCs w:val="28"/>
        </w:rPr>
        <w:t xml:space="preserve">муниципального </w:t>
      </w:r>
      <w:r w:rsidRPr="00C762A8">
        <w:rPr>
          <w:sz w:val="28"/>
        </w:rPr>
        <w:t xml:space="preserve">образования </w:t>
      </w:r>
      <w:r w:rsidRPr="00C762A8">
        <w:rPr>
          <w:sz w:val="28"/>
        </w:rPr>
        <w:tab/>
      </w:r>
      <w:r w:rsidRPr="00C762A8">
        <w:rPr>
          <w:sz w:val="28"/>
        </w:rPr>
        <w:tab/>
      </w:r>
      <w:r w:rsidRPr="00C762A8">
        <w:rPr>
          <w:sz w:val="28"/>
        </w:rPr>
        <w:tab/>
      </w:r>
      <w:r w:rsidRPr="00C762A8">
        <w:rPr>
          <w:sz w:val="28"/>
        </w:rPr>
        <w:tab/>
      </w:r>
      <w:r w:rsidRPr="00C762A8">
        <w:rPr>
          <w:sz w:val="28"/>
        </w:rPr>
        <w:tab/>
        <w:t xml:space="preserve">            И. А. </w:t>
      </w:r>
      <w:proofErr w:type="spellStart"/>
      <w:r w:rsidRPr="00C762A8">
        <w:rPr>
          <w:sz w:val="28"/>
        </w:rPr>
        <w:t>Дяченко</w:t>
      </w:r>
      <w:proofErr w:type="spellEnd"/>
    </w:p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/>
    <w:p w:rsidR="00EA2B35" w:rsidRPr="00C762A8" w:rsidRDefault="00EA2B35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 xml:space="preserve">      Приложение № 1</w:t>
      </w:r>
    </w:p>
    <w:p w:rsidR="00C762A8" w:rsidRPr="00C762A8" w:rsidRDefault="00C762A8" w:rsidP="00C762A8">
      <w:pPr>
        <w:ind w:left="4248" w:firstLine="708"/>
        <w:rPr>
          <w:sz w:val="28"/>
          <w:szCs w:val="28"/>
        </w:rPr>
      </w:pPr>
      <w:r w:rsidRPr="00C762A8">
        <w:rPr>
          <w:sz w:val="28"/>
          <w:szCs w:val="28"/>
        </w:rPr>
        <w:t xml:space="preserve">      УТВЕРЖДЕН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 xml:space="preserve">      постановлением администрации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                                                                   город Новороссийск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 xml:space="preserve">      от __________ № ________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 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ПАСПОРТ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муниципальной программы «Доступная среда» на 2022 – 2024 годы.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населением».   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Управление культуры администрации муниципального образования город Новороссийск;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C762A8">
              <w:rPr>
                <w:sz w:val="28"/>
                <w:szCs w:val="28"/>
              </w:rPr>
              <w:t>,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Управление культуры администрации муниципального образования город Новороссийск;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C762A8">
              <w:rPr>
                <w:sz w:val="28"/>
                <w:szCs w:val="28"/>
              </w:rPr>
              <w:t>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Администрация МО  город Новороссийск.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b w:val="0"/>
                <w:sz w:val="28"/>
                <w:szCs w:val="28"/>
              </w:rPr>
              <w:t>1. Подпрограмма «Обеспечение доступности в области учреждений культуры и искусства муниципального образования город Новороссийск на 2022-2024 годы»;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2. Подпрограмма «Обеспечение доступности в области транспорта и дорожного хозяйства муниципального образования город Новороссийск на 2022-2024 годы».</w:t>
            </w:r>
          </w:p>
        </w:tc>
      </w:tr>
      <w:tr w:rsidR="00C762A8" w:rsidRPr="00C762A8" w:rsidTr="00AF765B">
        <w:trPr>
          <w:trHeight w:val="727"/>
        </w:trPr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Цели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маломобильной</w:t>
            </w:r>
            <w:proofErr w:type="spellEnd"/>
            <w:r w:rsidRPr="00C762A8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образования, культуры, услуг транспорта и связи.</w:t>
            </w:r>
          </w:p>
        </w:tc>
      </w:tr>
      <w:tr w:rsidR="00C762A8" w:rsidRPr="00C762A8" w:rsidTr="00AF765B">
        <w:trPr>
          <w:trHeight w:val="727"/>
        </w:trPr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       Преодоление изоляции граждан с ограниченными возможностями и повышение их социальной активности.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       Повышение доли доступных объектов социальной, транспортной и инженерной инфраструктуры.</w:t>
            </w:r>
          </w:p>
        </w:tc>
      </w:tr>
      <w:tr w:rsidR="00C762A8" w:rsidRPr="00C762A8" w:rsidTr="00AF765B">
        <w:trPr>
          <w:trHeight w:val="727"/>
        </w:trPr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         Доля приоритетных объектов, доступных для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культуры, в </w:t>
            </w:r>
            <w:proofErr w:type="gramStart"/>
            <w:r w:rsidRPr="00C762A8">
              <w:rPr>
                <w:sz w:val="28"/>
                <w:szCs w:val="28"/>
              </w:rPr>
              <w:t>общем</w:t>
            </w:r>
            <w:proofErr w:type="gramEnd"/>
            <w:r w:rsidRPr="00C762A8">
              <w:rPr>
                <w:sz w:val="28"/>
                <w:szCs w:val="28"/>
              </w:rPr>
              <w:t xml:space="preserve"> муниципальных объектов в сфере культуры из реестра приоритетных объектов;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        Доля приоритетных объектов, доступных для инвалидов 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     </w:t>
            </w:r>
            <w:r w:rsidRPr="00C762A8">
              <w:rPr>
                <w:color w:val="000000"/>
                <w:sz w:val="28"/>
                <w:szCs w:val="28"/>
              </w:rPr>
              <w:t xml:space="preserve">  </w:t>
            </w:r>
            <w:r w:rsidRPr="00C762A8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оборудованного для перевозки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Этапы и сроки реализации программы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2022 - 2024 годы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Всего- 6492,7 в том числе: 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 – 6492,7 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бюджет – 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 – 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В том числе 2022 год – 4620,7 тыс. руб.: 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 – 4620,7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бюджет – 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 –0,0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В том числе 2023 год – 1301,0 тыс. руб.: 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 – 1301,0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бюджет – 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 – 0,0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В том числе 2024 год – 571,0 тыс. руб.: 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 – 571,0 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бюджет – 0 тыс. руб.</w:t>
            </w: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 –0 тыс. руб.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proofErr w:type="gramStart"/>
            <w:r w:rsidRPr="00C762A8">
              <w:rPr>
                <w:sz w:val="28"/>
                <w:szCs w:val="28"/>
              </w:rPr>
              <w:t>Контроль за</w:t>
            </w:r>
            <w:proofErr w:type="gramEnd"/>
            <w:r w:rsidRPr="00C762A8">
              <w:rPr>
                <w:sz w:val="28"/>
                <w:szCs w:val="28"/>
              </w:rPr>
              <w:t xml:space="preserve"> исполнением подпрограмм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1. Подпрограмма «Обеспечение доступности в области учреждений культуры и искусства муниципального образования город Новороссийск на 2022-2024 годы»-</w:t>
            </w:r>
            <w:r w:rsidRPr="00C762A8">
              <w:rPr>
                <w:b/>
                <w:sz w:val="28"/>
                <w:szCs w:val="28"/>
              </w:rPr>
              <w:t xml:space="preserve"> </w:t>
            </w:r>
            <w:r w:rsidRPr="00C762A8">
              <w:rPr>
                <w:sz w:val="28"/>
                <w:szCs w:val="28"/>
              </w:rPr>
              <w:t>управление культуры администрации муниципального образования город Новороссийск;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2. Подпрограмма «Обеспечение доступности в области транспорта и дорожного хозяйства муниципального образования город Новороссийск на 2022-2024 годы» </w:t>
            </w:r>
            <w:proofErr w:type="gramStart"/>
            <w:r w:rsidRPr="00C762A8">
              <w:rPr>
                <w:sz w:val="28"/>
                <w:szCs w:val="28"/>
              </w:rPr>
              <w:t>-</w:t>
            </w:r>
            <w:r w:rsidRPr="00C762A8">
              <w:rPr>
                <w:sz w:val="28"/>
                <w:szCs w:val="28"/>
              </w:rPr>
              <w:lastRenderedPageBreak/>
              <w:t>у</w:t>
            </w:r>
            <w:proofErr w:type="gramEnd"/>
            <w:r w:rsidRPr="00C762A8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C762A8">
              <w:rPr>
                <w:sz w:val="28"/>
                <w:szCs w:val="28"/>
              </w:rPr>
              <w:t>.</w:t>
            </w:r>
          </w:p>
        </w:tc>
      </w:tr>
      <w:tr w:rsidR="00C762A8" w:rsidRPr="00C762A8" w:rsidTr="00AF765B">
        <w:tc>
          <w:tcPr>
            <w:tcW w:w="223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proofErr w:type="gramStart"/>
            <w:r w:rsidRPr="00C762A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C762A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C762A8" w:rsidRPr="00C762A8" w:rsidRDefault="00C762A8" w:rsidP="00C762A8">
      <w:pPr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культурного, социального окружения, образования, транспорта и связи. В настоящее время в городе проживает 17267 инвалидов, из них 1686 инвалидов 1 группы, 949 ребенка – инвалида.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По итогам реализации программных мероприятий численность людей с ограниченными возможностями здоровья, посещающих те или иные  секции и кружки значительно увеличится. Существует ряд нерешенных проблем, связанных с включением человека с ограниченными возможностями здоровья в жизнь  социума и обеспечением права на образование. Детские сады остаются до настоящего времени труднодоступным для многих инвалидов. В связи с этим возникает задача внедрения универсального дизайна внешней и внутренней среды дошкольных образовательных учреждений. При выполнении программных мероприятий будут достигнуты принципы равенства, комфорта среди детей. Количество воспитанников детских садов, имеющих различные формы инвалидности, может возрасти на 5 – 10 человек в каждом дошкольном образовательном учреждении.</w:t>
      </w:r>
    </w:p>
    <w:p w:rsidR="00C762A8" w:rsidRPr="00C762A8" w:rsidRDefault="00C762A8" w:rsidP="00C762A8">
      <w:pPr>
        <w:jc w:val="both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 xml:space="preserve">Цели, задачи и целевые </w:t>
      </w:r>
      <w:proofErr w:type="gramStart"/>
      <w:r w:rsidRPr="00C762A8">
        <w:rPr>
          <w:sz w:val="28"/>
          <w:szCs w:val="28"/>
        </w:rPr>
        <w:t>показатели</w:t>
      </w:r>
      <w:proofErr w:type="gramEnd"/>
      <w:r w:rsidRPr="00C762A8">
        <w:rPr>
          <w:sz w:val="28"/>
          <w:szCs w:val="28"/>
        </w:rPr>
        <w:t xml:space="preserve">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C762A8">
        <w:rPr>
          <w:sz w:val="28"/>
          <w:szCs w:val="28"/>
        </w:rPr>
        <w:t>маломобильной</w:t>
      </w:r>
      <w:proofErr w:type="spellEnd"/>
      <w:r w:rsidRPr="00C762A8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образования, услуг транспорта и связи.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Преодоление социальной разобщенности граждан с ограниченными возможностями.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Повышение доли доступных образовательных организаций.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Повышение численности людей с ограниченными возможностями, посещающих образовательные организации.</w:t>
      </w: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- Создание равных возможностей для </w:t>
      </w:r>
      <w:proofErr w:type="spellStart"/>
      <w:r w:rsidRPr="00C762A8">
        <w:rPr>
          <w:sz w:val="28"/>
          <w:szCs w:val="28"/>
        </w:rPr>
        <w:t>маломобильной</w:t>
      </w:r>
      <w:proofErr w:type="spellEnd"/>
      <w:r w:rsidRPr="00C762A8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культуры и искусства.</w:t>
      </w:r>
    </w:p>
    <w:p w:rsidR="00C762A8" w:rsidRPr="00C762A8" w:rsidRDefault="00C762A8" w:rsidP="00C762A8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762A8">
        <w:rPr>
          <w:color w:val="000000"/>
          <w:spacing w:val="2"/>
          <w:sz w:val="28"/>
          <w:szCs w:val="28"/>
          <w:shd w:val="clear" w:color="auto" w:fill="FFFFFF"/>
        </w:rPr>
        <w:tab/>
        <w:t>- Повышение доли доступных объектов транспортной и инженерной структуры.</w:t>
      </w: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762A8">
        <w:rPr>
          <w:color w:val="000000"/>
          <w:spacing w:val="2"/>
          <w:sz w:val="28"/>
          <w:szCs w:val="28"/>
          <w:shd w:val="clear" w:color="auto" w:fill="FFFFFF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C762A8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Pr="00C762A8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C762A8" w:rsidRPr="00C762A8" w:rsidTr="00AF765B">
        <w:trPr>
          <w:trHeight w:val="674"/>
          <w:tblHeader/>
        </w:trPr>
        <w:tc>
          <w:tcPr>
            <w:tcW w:w="629" w:type="dxa"/>
          </w:tcPr>
          <w:p w:rsidR="00C762A8" w:rsidRPr="00C762A8" w:rsidRDefault="00C762A8" w:rsidP="00AF765B">
            <w:pPr>
              <w:pStyle w:val="ad"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762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62A8">
              <w:rPr>
                <w:sz w:val="28"/>
                <w:szCs w:val="28"/>
              </w:rPr>
              <w:t>/</w:t>
            </w:r>
            <w:proofErr w:type="spellStart"/>
            <w:r w:rsidRPr="00C762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762A8" w:rsidRPr="00C762A8" w:rsidRDefault="00C762A8" w:rsidP="00AF765B">
            <w:pPr>
              <w:pStyle w:val="ad"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C762A8" w:rsidRPr="00C762A8" w:rsidRDefault="00C762A8" w:rsidP="00AF765B">
            <w:pPr>
              <w:pStyle w:val="ad"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C762A8" w:rsidRPr="00C762A8" w:rsidTr="00AF765B">
        <w:tc>
          <w:tcPr>
            <w:tcW w:w="629" w:type="dxa"/>
          </w:tcPr>
          <w:p w:rsidR="00C762A8" w:rsidRPr="00C762A8" w:rsidRDefault="00C762A8" w:rsidP="00AF765B">
            <w:pPr>
              <w:pStyle w:val="ad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762A8" w:rsidRPr="00C762A8" w:rsidRDefault="00C762A8" w:rsidP="00AF765B">
            <w:pPr>
              <w:pStyle w:val="ad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культуры, в общем, муниципальных объектов в сфере культуры из реестра приоритетных объектов</w:t>
            </w:r>
          </w:p>
        </w:tc>
        <w:tc>
          <w:tcPr>
            <w:tcW w:w="4678" w:type="dxa"/>
          </w:tcPr>
          <w:p w:rsidR="00C762A8" w:rsidRPr="00C762A8" w:rsidRDefault="00C762A8" w:rsidP="00AF765B">
            <w:pPr>
              <w:pStyle w:val="ad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Показатель рассчитывается как отношение количества доступных для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приоритетных объектов в сфере культуры к общему количеству приоритетных объектов в сфере культуры.</w:t>
            </w:r>
          </w:p>
        </w:tc>
      </w:tr>
      <w:tr w:rsidR="00C762A8" w:rsidRPr="00C762A8" w:rsidTr="00AF765B">
        <w:tc>
          <w:tcPr>
            <w:tcW w:w="629" w:type="dxa"/>
          </w:tcPr>
          <w:p w:rsidR="00C762A8" w:rsidRPr="00C762A8" w:rsidRDefault="00C762A8" w:rsidP="00AF765B">
            <w:pPr>
              <w:pStyle w:val="ad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приоритетных объектов, доступных для инвалидов 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</w:t>
            </w:r>
            <w:r w:rsidRPr="00C762A8">
              <w:rPr>
                <w:sz w:val="28"/>
                <w:szCs w:val="28"/>
              </w:rPr>
              <w:lastRenderedPageBreak/>
              <w:t>инфраструктуры города Новороссийска</w:t>
            </w:r>
          </w:p>
        </w:tc>
        <w:tc>
          <w:tcPr>
            <w:tcW w:w="4678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доступных для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к общему количеству приоритетных объектов в </w:t>
            </w:r>
            <w:r w:rsidRPr="00C762A8">
              <w:rPr>
                <w:sz w:val="28"/>
                <w:szCs w:val="28"/>
              </w:rPr>
              <w:lastRenderedPageBreak/>
              <w:t>сфере инженерной и транспортной инфраструктуры муниципального образования город Новороссийск.</w:t>
            </w:r>
          </w:p>
        </w:tc>
      </w:tr>
      <w:tr w:rsidR="00C762A8" w:rsidRPr="00C762A8" w:rsidTr="00AF765B">
        <w:tc>
          <w:tcPr>
            <w:tcW w:w="629" w:type="dxa"/>
          </w:tcPr>
          <w:p w:rsidR="00C762A8" w:rsidRPr="00C762A8" w:rsidRDefault="00C762A8" w:rsidP="00AF765B">
            <w:pPr>
              <w:pStyle w:val="ad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оборудованного для перевозки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</w:t>
            </w:r>
          </w:p>
        </w:tc>
        <w:tc>
          <w:tcPr>
            <w:tcW w:w="4678" w:type="dxa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 в городе Новороссийске, оборудованного для перевозки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</w:tc>
      </w:tr>
    </w:tbl>
    <w:p w:rsidR="00C762A8" w:rsidRPr="00C762A8" w:rsidRDefault="00C762A8" w:rsidP="00C762A8">
      <w:pPr>
        <w:shd w:val="clear" w:color="auto" w:fill="FFFFFF" w:themeFill="background1"/>
        <w:jc w:val="both"/>
        <w:rPr>
          <w:sz w:val="28"/>
          <w:szCs w:val="28"/>
        </w:rPr>
      </w:pPr>
    </w:p>
    <w:p w:rsidR="00C762A8" w:rsidRPr="00C762A8" w:rsidRDefault="00C762A8" w:rsidP="00C762A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Реестр приоритетных объектов в приоритетных сферах жизнедеятельности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 в городе Новороссийске  используется для расчета и прилагается к программе.</w:t>
      </w:r>
    </w:p>
    <w:p w:rsidR="00C762A8" w:rsidRPr="00C762A8" w:rsidRDefault="00C762A8" w:rsidP="00C762A8">
      <w:pPr>
        <w:shd w:val="clear" w:color="auto" w:fill="FFFFFF" w:themeFill="background1"/>
        <w:jc w:val="both"/>
        <w:rPr>
          <w:sz w:val="28"/>
          <w:szCs w:val="28"/>
        </w:rPr>
      </w:pPr>
    </w:p>
    <w:p w:rsidR="00C762A8" w:rsidRPr="00C762A8" w:rsidRDefault="00C762A8" w:rsidP="00C762A8">
      <w:pPr>
        <w:ind w:firstLine="708"/>
        <w:jc w:val="both"/>
        <w:rPr>
          <w:sz w:val="28"/>
          <w:szCs w:val="28"/>
        </w:rPr>
      </w:pPr>
      <w:r w:rsidRPr="00C762A8">
        <w:rPr>
          <w:color w:val="000000"/>
          <w:sz w:val="28"/>
          <w:szCs w:val="28"/>
        </w:rPr>
        <w:t xml:space="preserve">Расчет значений показателей осуществляется ежегодно </w:t>
      </w:r>
      <w:r w:rsidRPr="00C762A8">
        <w:rPr>
          <w:sz w:val="28"/>
          <w:szCs w:val="28"/>
        </w:rPr>
        <w:t xml:space="preserve">управлением образования администрации муниципального образования город Новороссийск, управлением культуры администрации муниципального образования город Новороссийск, </w:t>
      </w:r>
      <w:r w:rsidRPr="00C762A8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C762A8">
        <w:rPr>
          <w:sz w:val="28"/>
          <w:szCs w:val="28"/>
        </w:rPr>
        <w:t>,</w:t>
      </w:r>
    </w:p>
    <w:p w:rsidR="00C762A8" w:rsidRPr="00C762A8" w:rsidRDefault="00C762A8" w:rsidP="00C762A8">
      <w:pPr>
        <w:jc w:val="both"/>
        <w:rPr>
          <w:sz w:val="28"/>
          <w:szCs w:val="28"/>
        </w:rPr>
      </w:pPr>
      <w:r w:rsidRPr="00C762A8">
        <w:rPr>
          <w:sz w:val="28"/>
          <w:szCs w:val="28"/>
        </w:rPr>
        <w:t>МКУ «Управление по развитию и реконструкции автомобильных дорог».</w:t>
      </w: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C762A8" w:rsidRPr="00C762A8" w:rsidRDefault="00C762A8" w:rsidP="00C762A8">
      <w:pPr>
        <w:jc w:val="center"/>
        <w:rPr>
          <w:color w:val="000000"/>
          <w:sz w:val="28"/>
          <w:szCs w:val="28"/>
        </w:rPr>
      </w:pP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категорий граждан Российской Федерации, в том числе: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 </w:t>
      </w:r>
      <w:r w:rsidRPr="00C762A8">
        <w:rPr>
          <w:sz w:val="28"/>
          <w:szCs w:val="28"/>
        </w:rPr>
        <w:lastRenderedPageBreak/>
        <w:t>путем создания в муниципальных дошкольных образовательных организациях условий для получения детьми-инвалидами качественного образования;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Обеспечение доступности учреждений культуры и искусства;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Доступность инженерной и транспортной инфраструктуры;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Обеспечение доступности для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в местах общего пользования.</w:t>
      </w:r>
    </w:p>
    <w:p w:rsidR="00C762A8" w:rsidRPr="00C762A8" w:rsidRDefault="00C762A8" w:rsidP="00C762A8">
      <w:pPr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C762A8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762A8">
        <w:rPr>
          <w:color w:val="000000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C762A8">
        <w:rPr>
          <w:color w:val="000000"/>
          <w:sz w:val="28"/>
          <w:szCs w:val="28"/>
        </w:rPr>
        <w:t>софинансирования</w:t>
      </w:r>
      <w:proofErr w:type="spellEnd"/>
      <w:r w:rsidRPr="00C762A8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C762A8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Объем финансирования муниципальной программы за счет средств бюджетов разных уровней составляет 6492,7 тыс. руб., в том числе по годам реализации: 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2022 год – 4620,7 тыс. руб.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2023 год – 1301,0 тыс. руб.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2024 год – 571,0 тыс. руб.</w:t>
      </w:r>
    </w:p>
    <w:p w:rsidR="00C762A8" w:rsidRPr="00C762A8" w:rsidRDefault="00C762A8" w:rsidP="00C762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Координатор программы, с учетом выделяемых на реализацию Программы финансовых средств, ежегодно уточняет целевые показатели и </w:t>
      </w:r>
      <w:r w:rsidRPr="00C762A8">
        <w:rPr>
          <w:sz w:val="28"/>
          <w:szCs w:val="28"/>
        </w:rPr>
        <w:lastRenderedPageBreak/>
        <w:t>затраты по программным мероприятиям, механизм реализации Программы, состав исполнителей.</w:t>
      </w:r>
    </w:p>
    <w:p w:rsidR="00C762A8" w:rsidRPr="00C762A8" w:rsidRDefault="00C762A8" w:rsidP="00C7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C762A8" w:rsidRPr="00C762A8" w:rsidRDefault="00C762A8" w:rsidP="00C762A8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показателей муниципальной программы,</w:t>
      </w:r>
    </w:p>
    <w:p w:rsidR="00C762A8" w:rsidRPr="00C762A8" w:rsidRDefault="00C762A8" w:rsidP="00C762A8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источнику ресурсного обеспечения,</w:t>
      </w:r>
    </w:p>
    <w:p w:rsidR="00C762A8" w:rsidRPr="00C762A8" w:rsidRDefault="00C762A8" w:rsidP="00C762A8">
      <w:pPr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C762A8">
        <w:rPr>
          <w:bCs/>
          <w:sz w:val="28"/>
          <w:szCs w:val="28"/>
        </w:rPr>
        <w:t>№ 6600 от 30 декабря 2019 года «Об утверждении порядка</w:t>
      </w:r>
      <w:r w:rsidRPr="00C762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C762A8" w:rsidRPr="00C762A8" w:rsidRDefault="00C762A8" w:rsidP="00C762A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 xml:space="preserve">оценку степени реализации мероприятий и достижения ожидаемых непосредственных результатов их реализации; </w:t>
      </w:r>
    </w:p>
    <w:p w:rsidR="00C762A8" w:rsidRPr="00C762A8" w:rsidRDefault="00C762A8" w:rsidP="00C762A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 xml:space="preserve">оценку степени соответствия запланированному уровню расходов; </w:t>
      </w:r>
    </w:p>
    <w:p w:rsidR="00C762A8" w:rsidRPr="00C762A8" w:rsidRDefault="00C762A8" w:rsidP="00C762A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 xml:space="preserve">оценку эффективности использования средств местного бюджета; </w:t>
      </w:r>
    </w:p>
    <w:p w:rsidR="00C762A8" w:rsidRPr="00C762A8" w:rsidRDefault="00C762A8" w:rsidP="00C762A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 xml:space="preserve">оценку степени достижения целей и решения задач. </w:t>
      </w:r>
    </w:p>
    <w:p w:rsidR="00C762A8" w:rsidRPr="00C762A8" w:rsidRDefault="00C762A8" w:rsidP="00C762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C762A8">
        <w:rPr>
          <w:sz w:val="28"/>
          <w:szCs w:val="28"/>
        </w:rPr>
        <w:t>ЭРмп</w:t>
      </w:r>
      <w:proofErr w:type="spellEnd"/>
      <w:r w:rsidRPr="00C762A8">
        <w:rPr>
          <w:sz w:val="28"/>
          <w:szCs w:val="28"/>
        </w:rPr>
        <w:t xml:space="preserve"> составляет не менее 0,90. </w:t>
      </w:r>
    </w:p>
    <w:p w:rsidR="00C762A8" w:rsidRPr="00C762A8" w:rsidRDefault="00C762A8" w:rsidP="00C762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C762A8">
        <w:rPr>
          <w:sz w:val="28"/>
          <w:szCs w:val="28"/>
        </w:rPr>
        <w:t>ЭРмп</w:t>
      </w:r>
      <w:proofErr w:type="spellEnd"/>
      <w:r w:rsidRPr="00C762A8">
        <w:rPr>
          <w:sz w:val="28"/>
          <w:szCs w:val="28"/>
        </w:rPr>
        <w:t xml:space="preserve"> составляет не менее 0,80. </w:t>
      </w:r>
    </w:p>
    <w:p w:rsidR="00C762A8" w:rsidRPr="00C762A8" w:rsidRDefault="00C762A8" w:rsidP="00C762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762A8">
        <w:rPr>
          <w:sz w:val="28"/>
          <w:szCs w:val="28"/>
        </w:rPr>
        <w:t>ЭРмп</w:t>
      </w:r>
      <w:proofErr w:type="spellEnd"/>
      <w:r w:rsidRPr="00C762A8">
        <w:rPr>
          <w:sz w:val="28"/>
          <w:szCs w:val="28"/>
        </w:rPr>
        <w:t xml:space="preserve"> составляет не менее 0,70.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</w:t>
      </w:r>
      <w:proofErr w:type="gramStart"/>
      <w:r w:rsidRPr="00C762A8">
        <w:rPr>
          <w:sz w:val="28"/>
          <w:szCs w:val="28"/>
        </w:rPr>
        <w:t>м-</w:t>
      </w:r>
      <w:proofErr w:type="gramEnd"/>
      <w:r w:rsidRPr="00C762A8">
        <w:rPr>
          <w:sz w:val="28"/>
          <w:szCs w:val="28"/>
        </w:rPr>
        <w:t xml:space="preserve">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Механизм реализации муниципальной программы и </w:t>
      </w: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proofErr w:type="gramStart"/>
      <w:r w:rsidRPr="00C762A8">
        <w:rPr>
          <w:sz w:val="28"/>
          <w:szCs w:val="28"/>
        </w:rPr>
        <w:t>контроль за</w:t>
      </w:r>
      <w:proofErr w:type="gramEnd"/>
      <w:r w:rsidRPr="00C762A8">
        <w:rPr>
          <w:sz w:val="28"/>
          <w:szCs w:val="28"/>
        </w:rPr>
        <w:t xml:space="preserve"> ее выполнением</w:t>
      </w:r>
    </w:p>
    <w:p w:rsidR="00C762A8" w:rsidRPr="00C762A8" w:rsidRDefault="00C762A8" w:rsidP="00C762A8">
      <w:pPr>
        <w:pStyle w:val="ad"/>
        <w:rPr>
          <w:sz w:val="28"/>
          <w:szCs w:val="28"/>
        </w:rPr>
      </w:pP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Бюджетным кодексом Российской Федерации;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Постановлением Правительства РФ от 01.12.2015 года № «Об утверждении государственной программы Российской Федерации «Доступная среда» на 2011 - 2020 годы»;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 Постановлением администрации города Новороссийска </w:t>
      </w:r>
      <w:r w:rsidRPr="00C762A8">
        <w:rPr>
          <w:bCs/>
          <w:sz w:val="28"/>
          <w:szCs w:val="28"/>
        </w:rPr>
        <w:t>№ 6600 от 30 декабря 2019 года «Об утверждении порядка</w:t>
      </w:r>
      <w:r w:rsidRPr="00C762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762A8">
        <w:rPr>
          <w:sz w:val="28"/>
          <w:szCs w:val="28"/>
        </w:rPr>
        <w:t>контроля за</w:t>
      </w:r>
      <w:proofErr w:type="gramEnd"/>
      <w:r w:rsidRPr="00C762A8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C762A8">
        <w:rPr>
          <w:sz w:val="28"/>
          <w:szCs w:val="28"/>
        </w:rPr>
        <w:t>контроль за</w:t>
      </w:r>
      <w:proofErr w:type="gramEnd"/>
      <w:r w:rsidRPr="00C762A8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C762A8" w:rsidRPr="00C762A8" w:rsidRDefault="00C762A8" w:rsidP="00C762A8">
      <w:pPr>
        <w:pStyle w:val="ad"/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C762A8">
        <w:rPr>
          <w:bCs/>
          <w:sz w:val="28"/>
          <w:szCs w:val="28"/>
        </w:rPr>
        <w:t>№ 6600 от 30 декабря 2019 года «Об утверждении порядка</w:t>
      </w:r>
      <w:r w:rsidRPr="00C762A8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по муниципальным программам и проектам </w:t>
      </w:r>
      <w:proofErr w:type="gramStart"/>
      <w:r w:rsidRPr="00C762A8">
        <w:rPr>
          <w:sz w:val="28"/>
          <w:szCs w:val="28"/>
        </w:rPr>
        <w:t>–п</w:t>
      </w:r>
      <w:proofErr w:type="gramEnd"/>
      <w:r w:rsidRPr="00C762A8">
        <w:rPr>
          <w:sz w:val="28"/>
          <w:szCs w:val="28"/>
        </w:rPr>
        <w:t>роектный офис администрации муниципального образования город  Новороссийск</w:t>
      </w:r>
      <w:r w:rsidRPr="00C762A8">
        <w:rPr>
          <w:b/>
          <w:sz w:val="28"/>
          <w:szCs w:val="28"/>
        </w:rPr>
        <w:t xml:space="preserve"> </w:t>
      </w:r>
      <w:r w:rsidRPr="00C762A8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об исполнении финансирования муниципальной программы, о выполнении мероприятий муниципальной программы.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C762A8">
        <w:rPr>
          <w:b/>
          <w:sz w:val="28"/>
          <w:szCs w:val="28"/>
        </w:rPr>
        <w:t xml:space="preserve"> </w:t>
      </w:r>
      <w:r w:rsidRPr="00C762A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C762A8" w:rsidRPr="00C762A8" w:rsidRDefault="00C762A8" w:rsidP="00C762A8">
      <w:pPr>
        <w:ind w:firstLine="567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 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C762A8" w:rsidRPr="00C762A8" w:rsidRDefault="00C762A8" w:rsidP="00C762A8">
      <w:pPr>
        <w:pStyle w:val="ad"/>
        <w:ind w:firstLine="708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Муниципальный заказчик: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проводит анализ выполнения мероприятия;</w:t>
      </w:r>
    </w:p>
    <w:p w:rsidR="00C762A8" w:rsidRPr="00C762A8" w:rsidRDefault="00C762A8" w:rsidP="00C762A8">
      <w:pPr>
        <w:pStyle w:val="ad"/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C762A8" w:rsidRPr="00C762A8" w:rsidRDefault="00C762A8" w:rsidP="00C762A8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C762A8">
        <w:rPr>
          <w:color w:val="000000"/>
          <w:sz w:val="28"/>
          <w:szCs w:val="28"/>
        </w:rPr>
        <w:t>дств в пр</w:t>
      </w:r>
      <w:proofErr w:type="gramEnd"/>
      <w:r w:rsidRPr="00C762A8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C762A8">
        <w:rPr>
          <w:color w:val="000000"/>
          <w:sz w:val="28"/>
          <w:szCs w:val="28"/>
        </w:rPr>
        <w:t>адресность</w:t>
      </w:r>
      <w:proofErr w:type="spellEnd"/>
      <w:r w:rsidRPr="00C762A8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C762A8">
        <w:rPr>
          <w:color w:val="000000"/>
          <w:sz w:val="28"/>
          <w:szCs w:val="28"/>
        </w:rPr>
        <w:t>дств в с</w:t>
      </w:r>
      <w:proofErr w:type="gramEnd"/>
      <w:r w:rsidRPr="00C762A8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C762A8" w:rsidRPr="00C762A8" w:rsidRDefault="00C762A8" w:rsidP="00C762A8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Исполнитель: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обеспечивает реализацию мероприятия и проводит анализ его выполнения;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lastRenderedPageBreak/>
        <w:t>представляет отчетность координатору муниципальной программы о результатах выполнения мероприятия;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C762A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pStyle w:val="ad"/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Заместитель главы 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>муниципального образования</w:t>
      </w:r>
      <w:r w:rsidRPr="00C762A8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 w:rsidP="00C762A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 2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 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 Новороссийск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____________ №____</w:t>
      </w:r>
    </w:p>
    <w:p w:rsidR="00C762A8" w:rsidRPr="00C762A8" w:rsidRDefault="00C762A8" w:rsidP="00C762A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«Обеспечение доступности в области учреждений культуры и искусства» муниципального образования город Новороссийск 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на 2022-2024 годы.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4"/>
        <w:gridCol w:w="6746"/>
      </w:tblGrid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Новороссийск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муниципальной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Новороссийск, учреждения культуры города Новороссийска.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маломобильной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населения в сфере культурной жизни общества путем обеспечения доступности учреждений культуры и искусства.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Преодоление изоляции граждан с ограниченными возможностями и повышение их  активности в сфере культуры и искусства.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Повышение доли доступных объектов в сфере культуры и искусства.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культуры, в общем, муниципальных объектов в сфере культуры из реестра приоритетных объектов.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Муниципальные и ведомственные проекты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C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2022 - 2024 годы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Всего –1460,0 тыс. руб., в том числе: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Местный бюджет – 1460,0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Краевой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В том числе 2022 год –730,0 тыс. руб.: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Местный бюджет – 0,0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Краевой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В том числе 2023 год –730,0 тыс. руб.: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Местный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Краевой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В том числе 2024 год –0,0 тыс. руб.: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Местный бюджет – 0,0 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руб.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руб.</w:t>
            </w:r>
          </w:p>
        </w:tc>
      </w:tr>
      <w:tr w:rsidR="00C762A8" w:rsidRPr="00C762A8" w:rsidTr="00AF765B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подпрограммы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Новороссийск</w:t>
            </w:r>
          </w:p>
        </w:tc>
      </w:tr>
    </w:tbl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Характеристика текущего состояния и прогноз развития сферы</w:t>
      </w: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реализации  муниципальной подпрограммы «Обеспечение доступности  учреждений культуры и искусства» на 2022 - 2024 годы</w:t>
      </w: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</w:rPr>
      </w:pPr>
    </w:p>
    <w:p w:rsidR="00C762A8" w:rsidRPr="00C762A8" w:rsidRDefault="00C762A8" w:rsidP="00C762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Доступ к культурным благам является ключевым фактором реабилитации инвалидов и других людей с ограниченными возможностями, так как культура есть наивысшая ступень человеческих потребностей. Поэтому одной из важнейших задач управления культуры муниципального образования город Новороссийск является  создание равных возможностей для инвалидов и людей с ограниченными возможностями  в сфере культурной  жизни общества путем обеспечения доступности культурного окружения. 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Многие объекты культурной инфраструктуры пока не соответствуют требованиям строительных норм и правил по обеспечению доступности для инвалидов и других людей с ограниченными возможностями: отсутствие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пандусных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съездов, узкие дверные проемы, наличие высоких порогов, необорудованные зоны оказания услуг и санитарно-гигиенические помещения. </w:t>
      </w:r>
    </w:p>
    <w:p w:rsidR="00C762A8" w:rsidRPr="00C762A8" w:rsidRDefault="00C762A8" w:rsidP="00C7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подпрограммы «Обеспечение доступности  учреждений культуры и искусства» на 2022 - 2024 годы (далее - подпрограмма) позволит решать ряд проблем инвалидов и людей с ограниченными возможностями, даст возможность с комфортом посещать учреждения культуры и искусства. Реализация подпрограммы также позволит преодолеть изоляцию граждан с ограниченными возможностями, повысит их активность в сфере культурной жизни города, а также увеличится доля доступных объектов культурной инфраструктуры.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Цели, задачи,  целевые показатели,  сроки и этапы реализации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762A8">
        <w:rPr>
          <w:rFonts w:ascii="Times New Roman" w:hAnsi="Times New Roman" w:cs="Times New Roman"/>
          <w:b w:val="0"/>
          <w:sz w:val="28"/>
          <w:szCs w:val="28"/>
        </w:rPr>
        <w:t>муниципальнойподпрограммы</w:t>
      </w:r>
      <w:proofErr w:type="spellEnd"/>
      <w:r w:rsidRPr="00C762A8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доступности  учреждений культуры и искусства» муниципального образования город Новороссийск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 xml:space="preserve"> на 2022 - 2024 годы</w:t>
      </w: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 культуры и искусства.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Для достижения цели муниципальной подпрограммы необходимо решение следующих задач:</w:t>
      </w:r>
    </w:p>
    <w:p w:rsidR="00C762A8" w:rsidRPr="00C762A8" w:rsidRDefault="00C762A8" w:rsidP="00C762A8">
      <w:pPr>
        <w:pStyle w:val="ConsPlusNormal"/>
        <w:spacing w:line="25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Преодоление изоляции граждан с ограниченными возможностями и повышение их  активности в сфере культуры и искусства.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Повышение доли доступных объектов культурной инфраструктуры.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Целевые показатели муниципальной подпрограммы рассчитываются по следующим методикам:</w:t>
      </w: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4479"/>
      </w:tblGrid>
      <w:tr w:rsidR="00C762A8" w:rsidRPr="00C762A8" w:rsidTr="00AF76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культуры, в общем, муниципальных объектов в сфере культуры из реестра приоритетных объектов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как отношение количества доступных для инвалидов и других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приоритетных объектов в сфере культуры к общему количеству приоритетных объектов в сфере культуры</w:t>
            </w:r>
          </w:p>
        </w:tc>
      </w:tr>
    </w:tbl>
    <w:p w:rsidR="00C762A8" w:rsidRPr="00C762A8" w:rsidRDefault="00C762A8" w:rsidP="00C762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Расчет значений показателей осуществляется ежегодно управлением культуры администрации муниципального образования город Новороссийск.</w:t>
      </w:r>
    </w:p>
    <w:p w:rsidR="00C762A8" w:rsidRPr="00C762A8" w:rsidRDefault="00C762A8" w:rsidP="00C762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Этапами  и сроками  реализации подпрограммы являются 2019-2021 годы.</w:t>
      </w:r>
    </w:p>
    <w:p w:rsidR="00C762A8" w:rsidRPr="00C762A8" w:rsidRDefault="00C762A8" w:rsidP="00C762A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Перечень и краткое описание мероприятий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муниципальной подпрограммы «Обеспечение доступности  учреждений культуры и искусства» муниципального образования город Новороссийск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на 2022 - 2024 годы</w:t>
      </w: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ind w:firstLine="709"/>
        <w:contextualSpacing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 xml:space="preserve">На территории муниципального образования город Новороссийск учреждения культуры на регулярной основе проводят мероприятия для людей с ограниченными возможностями. Для данной категории людей в учреждениях осуществляют свою деятельность любительские объединения и кружки различной направленности, такие как танцевальные коллективы «Шаг вперед» и «Светлячки», театр «Город мечты» и другие. </w:t>
      </w:r>
    </w:p>
    <w:p w:rsidR="00C762A8" w:rsidRPr="00C762A8" w:rsidRDefault="00C762A8" w:rsidP="00C762A8">
      <w:pPr>
        <w:ind w:firstLine="709"/>
        <w:contextualSpacing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Также проводятся масштабные городские мероприятия и </w:t>
      </w:r>
      <w:proofErr w:type="spellStart"/>
      <w:r w:rsidRPr="00C762A8">
        <w:rPr>
          <w:sz w:val="28"/>
          <w:szCs w:val="28"/>
        </w:rPr>
        <w:t>культурно-досуговые</w:t>
      </w:r>
      <w:proofErr w:type="spellEnd"/>
      <w:r w:rsidRPr="00C762A8">
        <w:rPr>
          <w:sz w:val="28"/>
          <w:szCs w:val="28"/>
        </w:rPr>
        <w:t xml:space="preserve"> мероприятия развлекательного, познавательного характера, которые, в том числе,</w:t>
      </w:r>
      <w:bookmarkStart w:id="1" w:name="_GoBack"/>
      <w:bookmarkEnd w:id="1"/>
      <w:r w:rsidRPr="00C762A8">
        <w:rPr>
          <w:sz w:val="28"/>
          <w:szCs w:val="28"/>
        </w:rPr>
        <w:t xml:space="preserve"> посещают люди с ограниченными возможностями здоровья. Специалисты учреждений проводят театрализованные представления, вечера отдыха, мастер-классы, конкурсы, визиты вежливости, выставки, развлекательные, игровые и концертные мероприятия для взрослых и детей с ограниченными возможностями здоровья.</w:t>
      </w:r>
    </w:p>
    <w:p w:rsidR="00C762A8" w:rsidRPr="00C762A8" w:rsidRDefault="00C762A8" w:rsidP="00C7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Система муниципальных учреждений культуры, расположенных на территории муниципального образования город Новороссийск, в отношении которых управление культуры муниципального образования город Новороссийск осуществляет функции и полномочия учредителя, включает в себя 18 учреждений, из них 2 библиотеки – МБУ «Централизованная библиотечная система», МБУ «Централизованная система детских библиотек»; 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 xml:space="preserve">4 учреждения дополнительного образования – МБУ ДМБУ ДО «Детская школа искусств ст. Раевская», МБУ ДО «Детская музыкальная школа им. А.С.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Данини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»,  МАУ ДО «Детская художественная школа им С.Д.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», МБУ ДО «Детская школа искусств им. Л.А.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Гергиевой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>»; МАУ «Парки Новороссийска»;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 xml:space="preserve">10 учреждений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деятельности – МБУ «Городской дворец культуры», МАУ «Городской театр», МБУ «Городской центр национальных культур», МБУ «Дворец культуры им. Маркова», МБУ «Дворец культуры «Кубань», МБУ «Централизованная клубная система», МБУ «Центр творчества и ремесел», МБУ «Центр традиционной народной культуры», МАУ «Морской культурный центр»,  МАУ «Планетарий им Ю.А. Гагарина»; МАУ «Кинотеатр Нептун».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Из них на 01.01.2020 г. доступными для инвалидов и людей с ограниченными возможностями являются 11 учреждений. </w:t>
      </w:r>
    </w:p>
    <w:p w:rsidR="00C762A8" w:rsidRPr="00C762A8" w:rsidRDefault="00C762A8" w:rsidP="00C762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2A8">
        <w:rPr>
          <w:rFonts w:ascii="Times New Roman" w:hAnsi="Times New Roman" w:cs="Times New Roman"/>
          <w:sz w:val="28"/>
          <w:szCs w:val="28"/>
        </w:rPr>
        <w:t xml:space="preserve">Мероприятия подпрограммы включают в себя формирование условий для беспрепятственного доступа инвалидов и других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групп населения к приоритетным объектам и услугам в сфере культуры и искусства: адаптация учреждений культуры и искусства для беспрепятственного доступа и получения услуг инвалидами и группами населения с ограниченными возможностями с учетом их особых потребностей исходя из основных ограничений жизнедеятельности (в том числе переоборудование санитарной комнаты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 и приобретение необходимого оборудования для адаптации инвалидов, оборудование иными элементами доступной среды,  устройство пандусов, поручней, устройство входной группы, расширение дверных проемов, приспособление путей движения, зон оказания услуг). </w:t>
      </w:r>
    </w:p>
    <w:p w:rsidR="00C762A8" w:rsidRPr="00C762A8" w:rsidRDefault="00C762A8" w:rsidP="00C762A8">
      <w:pPr>
        <w:pStyle w:val="ac"/>
        <w:ind w:left="426" w:right="229" w:firstLine="282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Условия доступности:</w:t>
      </w:r>
    </w:p>
    <w:p w:rsidR="00C762A8" w:rsidRPr="00C762A8" w:rsidRDefault="00C762A8" w:rsidP="00C762A8">
      <w:pPr>
        <w:pStyle w:val="ac"/>
        <w:ind w:left="0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>доступ к зданиям и к предоставляемым в них услугам;</w:t>
      </w:r>
    </w:p>
    <w:p w:rsidR="00C762A8" w:rsidRPr="00C762A8" w:rsidRDefault="00C762A8" w:rsidP="00C762A8">
      <w:pPr>
        <w:pStyle w:val="ac"/>
        <w:ind w:left="0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ab/>
        <w:t>возможность самостоятельного входа и выхода, передвижения по территории,  в том числе с использованием кресла-коляски;</w:t>
      </w:r>
    </w:p>
    <w:p w:rsidR="00C762A8" w:rsidRPr="00C762A8" w:rsidRDefault="00C762A8" w:rsidP="00C762A8">
      <w:pPr>
        <w:pStyle w:val="ac"/>
        <w:ind w:left="0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762A8" w:rsidRPr="00C762A8" w:rsidRDefault="00C762A8" w:rsidP="00C762A8">
      <w:pPr>
        <w:pStyle w:val="ac"/>
        <w:ind w:left="0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>надлежащее размещение оборудования и носителей информации о порядке предоставления услуги;</w:t>
      </w:r>
    </w:p>
    <w:p w:rsidR="00C762A8" w:rsidRPr="00C762A8" w:rsidRDefault="00C762A8" w:rsidP="00C762A8">
      <w:pPr>
        <w:pStyle w:val="ac"/>
        <w:ind w:left="0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>оформление информации в доступной для инвалидов форме;</w:t>
      </w:r>
    </w:p>
    <w:p w:rsidR="00C762A8" w:rsidRPr="00C762A8" w:rsidRDefault="00C762A8" w:rsidP="00C762A8">
      <w:pPr>
        <w:ind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  <w:t>Архитектурная доступность:</w:t>
      </w:r>
    </w:p>
    <w:p w:rsidR="00C762A8" w:rsidRPr="00C762A8" w:rsidRDefault="00C762A8" w:rsidP="00C762A8">
      <w:pPr>
        <w:ind w:left="-284" w:right="22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>На объектах, прошедших реконструкцию или модернизацию,  требования доступности должны строго исполняться.</w:t>
      </w:r>
    </w:p>
    <w:p w:rsidR="00C762A8" w:rsidRPr="00C762A8" w:rsidRDefault="00C762A8" w:rsidP="00C762A8">
      <w:pPr>
        <w:ind w:left="-284" w:right="229"/>
        <w:jc w:val="both"/>
        <w:rPr>
          <w:color w:val="FF0000"/>
          <w:sz w:val="28"/>
          <w:szCs w:val="28"/>
        </w:rPr>
      </w:pPr>
      <w:r w:rsidRPr="00C762A8">
        <w:rPr>
          <w:color w:val="FF0000"/>
          <w:sz w:val="28"/>
          <w:szCs w:val="28"/>
        </w:rPr>
        <w:tab/>
        <w:t xml:space="preserve"> </w:t>
      </w: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 муниципальной подпрограммы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«Обеспечение доступности  учреждений культуры и искусства» муниципального образования город Новороссийск на 2022 - 2024 годы</w:t>
      </w: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Мероприятия муниципальной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2A8">
        <w:rPr>
          <w:rFonts w:ascii="Times New Roman" w:hAnsi="Times New Roman" w:cs="Times New Roman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</w:t>
      </w:r>
      <w:hyperlink r:id="rId7" w:history="1"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постановлением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29.07.2016 N 561 "Об утверждении Порядка предоставления субсидий из краевого бюджета в рамках реализации мероприятий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"Доступная среда" и о внесении изменений в некоторые нормативные правовые акты главы администрации (губернатора) Краснодарского края".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за счет средств бюджетов разных уровней составляет 1460,0  тыс. руб., в том числе по годам реализации: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2022 год – 730,0 тыс. руб.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2023 год – 730,0 тыс. руб.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2024 год –0,0 тыс. руб.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Координатор муниципальной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C762A8" w:rsidRPr="00C762A8" w:rsidRDefault="00C762A8" w:rsidP="00C762A8">
      <w:pPr>
        <w:pStyle w:val="ConsPlusTitle"/>
        <w:outlineLvl w:val="1"/>
        <w:rPr>
          <w:rFonts w:ascii="Times New Roman" w:hAnsi="Times New Roman" w:cs="Times New Roman"/>
        </w:rPr>
      </w:pP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реализации муниципальной</w:t>
      </w: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Подпрограммы «Обеспечение доступности  учреждений культуры и искусства» на 2022 - 2024 годы</w:t>
      </w: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подпрограммы оценивается на основе: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- степени достижения целей и решения задач муниципальной подпрограммы путем сопоставления достигнутых значений целевых индикаторов и показателей муниципальной подпрограммы запланированным значениям целевых показателей муниципальной подпрограммы,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- сопоставления фактически произведенных затрат на реализацию муниципальной подпрограммы в отчетном году с их плановыми значениями отдельно по каждому источнику ресурсного обеспечения,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- оценки степени исполнения плана по реализации муниципальной подпрограммы путем сравнения фактических сроков реализации мероприятий плана по реализации муниципальной подпрограммы с запланированными сроками, а также сравнения фактически полученных результатов с ожидаемыми.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подпрограммы осуществляется в соответствии с постановлением администрации муниципального образования город Новороссийск N 6600 от 31 декабря 2019 года "Об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Новороссийск" и включает в себя: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оценку степени реализации мероприятий и достижения ожидаемых непосредственных результатов их реализации;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подпрограммы признается высокой в случае, если значение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подпрограммы признается средней в случае, если значение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подпрограммы признается удовлетворительной в случае, если значение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подпрограммы признается неудовлетворительной.</w:t>
      </w:r>
    </w:p>
    <w:p w:rsidR="00C762A8" w:rsidRPr="00C762A8" w:rsidRDefault="00C762A8" w:rsidP="00C762A8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подпрограммы предоставляются ее координатором ежегодно до 20 февраля в управление по муниципальным программам и проектам - проектный офис, по итогам предыдущего года в составе ежегодного доклада о ходе реализации муниципальной подпрограммы и оценке эффективности ее реализации.</w:t>
      </w:r>
    </w:p>
    <w:p w:rsidR="00C762A8" w:rsidRPr="00C762A8" w:rsidRDefault="00C762A8" w:rsidP="00C762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lastRenderedPageBreak/>
        <w:t>Механизм реализации муниципальной подпрограммы</w:t>
      </w:r>
    </w:p>
    <w:p w:rsidR="00C762A8" w:rsidRPr="00C762A8" w:rsidRDefault="00C762A8" w:rsidP="00C762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62A8">
        <w:rPr>
          <w:rFonts w:ascii="Times New Roman" w:hAnsi="Times New Roman" w:cs="Times New Roman"/>
          <w:b w:val="0"/>
          <w:sz w:val="28"/>
          <w:szCs w:val="28"/>
        </w:rPr>
        <w:t>«Обеспечение доступности  учреждений культуры и искусства» муниципального образования город Новороссийск на 2022 - 2024 годы</w:t>
      </w:r>
    </w:p>
    <w:p w:rsidR="00C762A8" w:rsidRPr="00C762A8" w:rsidRDefault="00C762A8" w:rsidP="00C762A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кодексом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законом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Постановлением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 xml:space="preserve"> Правительства РФ от 01.12.2015 №«Об утверждении государственной программы Российской Федерации «Доступная среда» на 2011 - 2020 годы»;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Постановлением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12.10.2015 N 969 «Об утверждении государственной программы Краснодарского края «Доступная среда»;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Новороссийска №6600 от 30 декабря 2019 года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муниципальнойподпрограммой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осуществляет ее координатор, который: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обеспечивает разработку  подпрограммы, ее согласование с участниками 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формирует структуру  подпрограммы и перечень участников 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организует реализацию подпрограммы, координацию деятельности участников 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выполнением подпрограммы, устанавливает сроки их предоставления;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проводит мониторинг реализации подпрограммы и анализ отчетности, представляемой участниками 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ежемесячно, ежеквартально готовит и направляет в управление по муниципальным программам и проектам - проектный офис отчетность о ходе реализации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ежегодно до 20 февраля проводит оценку эффективности реализации  подпрограммы;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 подпрограммы и оценке </w:t>
      </w:r>
      <w:r w:rsidRPr="00C762A8">
        <w:rPr>
          <w:rFonts w:ascii="Times New Roman" w:hAnsi="Times New Roman" w:cs="Times New Roman"/>
          <w:sz w:val="28"/>
          <w:szCs w:val="28"/>
        </w:rPr>
        <w:lastRenderedPageBreak/>
        <w:t>эффективности ее реализации (далее - доклад о ходе реализации  подпрограммы);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 подпрограммы на официальном сайте в информационно-телекоммуникационной сети "Интернет";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 подпрограммой.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выполнением плана реализации  подпрограммы.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Мониторинг реализации  муниципальной подпрограммы осуществляется по отчетным формам, утвержденным постановлением администрации города Новороссийска № 6600 от 31 декабря 2019 года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Координатор муниципальной подпрограммы ежемесячно и ежеквартально, до 10-го числа месяца, следующего за отчетным месяцем и кварталом соответственно, представляет в управление по муниципальным программам и проектам - проектный офис администрации муниципального образования город Новороссийск заполненные отчетные формы мониторинга реализации подпрограммы.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подпрограммы, представляют в его адрес информацию, необходимую для формирования доклада о ходе реализации подпрограммы.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К докладу о ходе реализации подпрограммы прилагаются отчеты об исполнении целевых показателей подпрограммы, об исполнении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финансированияподпрограммы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>, о выполнении мероприятий подпрограммы.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подпрограммы проводится анализ факторов, и указываются в докладе о ходе реализации подпрограммы причины, повлиявшие на такие расхождения.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По муниципальной подпрограмме, срок реализации которой завершился в отчетном году, координатор  подпрограммы представляет в управление по муниципальным программам и проектам - проектный офис доклад о результатах ее выполнения, включая оценку эффективности реализации подпрограммы за истекший год и весь период реализации подпрограммы.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2A8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государственных (муниципальных) контрактов </w:t>
      </w:r>
      <w:r w:rsidRPr="00C762A8">
        <w:rPr>
          <w:rFonts w:ascii="Times New Roman" w:hAnsi="Times New Roman" w:cs="Times New Roman"/>
          <w:sz w:val="28"/>
          <w:szCs w:val="28"/>
        </w:rPr>
        <w:lastRenderedPageBreak/>
        <w:t xml:space="preserve">(договоров) на поставку товаров, выполнение работ, оказание услуг для государственных (муниципальных)  нужд в соответствии с Федеральным </w:t>
      </w:r>
      <w:hyperlink r:id="rId12" w:history="1">
        <w:proofErr w:type="spellStart"/>
        <w:r w:rsidRPr="00C762A8">
          <w:rPr>
            <w:rStyle w:val="a5"/>
            <w:rFonts w:ascii="Times New Roman" w:eastAsiaTheme="majorEastAsia" w:hAnsi="Times New Roman"/>
            <w:sz w:val="28"/>
            <w:szCs w:val="28"/>
          </w:rPr>
          <w:t>законом</w:t>
        </w:r>
      </w:hyperlink>
      <w:r w:rsidRPr="00C762A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5 апреля 2013 года № 44-ФЗ «О контрактной системе в сфере закупок товаров, работ и услуг для обеспечения государственных и муниципальных нужд»  и  Федеральным законом от 18  июля  2011 года  № 223-ФЗ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При реализации мероприятия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Заместитель главы 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>муниципального образования</w:t>
      </w:r>
      <w:r w:rsidRPr="00C762A8">
        <w:rPr>
          <w:sz w:val="28"/>
          <w:szCs w:val="28"/>
        </w:rPr>
        <w:tab/>
        <w:t xml:space="preserve">                                 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 w:rsidP="00C762A8">
      <w:pPr>
        <w:rPr>
          <w:sz w:val="28"/>
          <w:szCs w:val="28"/>
        </w:rPr>
      </w:pPr>
    </w:p>
    <w:p w:rsidR="00C762A8" w:rsidRPr="00C762A8" w:rsidRDefault="00C762A8" w:rsidP="00C762A8">
      <w:pPr>
        <w:ind w:firstLine="4500"/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    Приложение № 3 </w:t>
      </w:r>
    </w:p>
    <w:p w:rsidR="00C762A8" w:rsidRPr="00C762A8" w:rsidRDefault="00C762A8" w:rsidP="00C762A8">
      <w:pPr>
        <w:ind w:firstLine="4500"/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    УТВЕРЖДЕН</w:t>
      </w:r>
    </w:p>
    <w:p w:rsidR="00C762A8" w:rsidRPr="00C762A8" w:rsidRDefault="00C762A8" w:rsidP="00C762A8">
      <w:pPr>
        <w:ind w:firstLine="4500"/>
        <w:jc w:val="right"/>
        <w:rPr>
          <w:sz w:val="28"/>
          <w:szCs w:val="28"/>
        </w:rPr>
      </w:pPr>
      <w:r w:rsidRPr="00C762A8">
        <w:rPr>
          <w:sz w:val="28"/>
          <w:szCs w:val="28"/>
        </w:rPr>
        <w:t xml:space="preserve">постановлением администрации </w:t>
      </w:r>
    </w:p>
    <w:p w:rsidR="00C762A8" w:rsidRPr="00C762A8" w:rsidRDefault="00C762A8" w:rsidP="00C762A8">
      <w:pPr>
        <w:ind w:firstLine="45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муниципального образования </w:t>
      </w:r>
    </w:p>
    <w:p w:rsidR="00C762A8" w:rsidRPr="00C762A8" w:rsidRDefault="00C762A8" w:rsidP="00C762A8">
      <w:pPr>
        <w:ind w:firstLine="4500"/>
        <w:rPr>
          <w:sz w:val="28"/>
          <w:szCs w:val="28"/>
        </w:rPr>
      </w:pPr>
      <w:r w:rsidRPr="00C762A8">
        <w:rPr>
          <w:sz w:val="28"/>
          <w:szCs w:val="28"/>
        </w:rPr>
        <w:t xml:space="preserve">              город Новороссийск </w:t>
      </w:r>
    </w:p>
    <w:p w:rsidR="00C762A8" w:rsidRPr="00C762A8" w:rsidRDefault="00C762A8" w:rsidP="00C762A8">
      <w:pPr>
        <w:ind w:firstLine="4500"/>
        <w:jc w:val="right"/>
        <w:rPr>
          <w:sz w:val="28"/>
          <w:szCs w:val="28"/>
        </w:rPr>
      </w:pPr>
      <w:r w:rsidRPr="00C762A8">
        <w:rPr>
          <w:sz w:val="28"/>
          <w:szCs w:val="28"/>
        </w:rPr>
        <w:t>от ____________№___________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ПАСПОРТ 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подпрограммы «Обеспечение доступности в области транспорта  и дорожного хозяйства» муниципального образования город Новороссийск 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на 2022-2024 годы.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ind w:firstLine="318"/>
              <w:jc w:val="both"/>
              <w:rPr>
                <w:sz w:val="28"/>
                <w:szCs w:val="28"/>
              </w:rPr>
            </w:pPr>
            <w:r w:rsidRPr="00C762A8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ind w:firstLine="318"/>
              <w:jc w:val="both"/>
              <w:rPr>
                <w:sz w:val="28"/>
                <w:szCs w:val="28"/>
              </w:rPr>
            </w:pPr>
            <w:r w:rsidRPr="00C762A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C762A8">
              <w:rPr>
                <w:sz w:val="28"/>
                <w:szCs w:val="28"/>
              </w:rPr>
              <w:t>,</w:t>
            </w:r>
          </w:p>
          <w:p w:rsidR="00C762A8" w:rsidRPr="00C762A8" w:rsidRDefault="00C762A8" w:rsidP="00AF765B">
            <w:pPr>
              <w:ind w:firstLine="318"/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  <w:p w:rsidR="00C762A8" w:rsidRPr="00C762A8" w:rsidRDefault="00C762A8" w:rsidP="00AF765B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62A8">
              <w:t xml:space="preserve">   </w:t>
            </w: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маломобильной</w:t>
            </w:r>
            <w:proofErr w:type="spellEnd"/>
            <w:r w:rsidRPr="00C762A8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Задачи муниципальной </w:t>
            </w:r>
            <w:r w:rsidRPr="00C762A8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tabs>
                <w:tab w:val="left" w:pos="609"/>
                <w:tab w:val="left" w:pos="795"/>
              </w:tabs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C762A8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доли доступных </w:t>
            </w:r>
            <w:r w:rsidRPr="00C762A8">
              <w:rPr>
                <w:sz w:val="28"/>
                <w:szCs w:val="28"/>
                <w:shd w:val="clear" w:color="auto" w:fill="FFFFFF"/>
              </w:rPr>
              <w:lastRenderedPageBreak/>
              <w:t>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  <w:r w:rsidRPr="00C762A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762A8" w:rsidRPr="00C762A8" w:rsidTr="00AF765B">
        <w:trPr>
          <w:trHeight w:val="286"/>
        </w:trPr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приоритетных объектов, доступных для инвалидов 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оборудованного для перевозки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2022-2024 годы </w:t>
            </w: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C762A8" w:rsidRPr="00C762A8" w:rsidRDefault="00C762A8" w:rsidP="00AF76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5032,7</w:t>
            </w:r>
            <w:r w:rsidRPr="00C762A8">
              <w:rPr>
                <w:iCs/>
                <w:color w:val="000000"/>
                <w:sz w:val="28"/>
                <w:szCs w:val="28"/>
              </w:rPr>
              <w:t xml:space="preserve"> тысяч рублей местный бюджет в том числе:</w:t>
            </w:r>
          </w:p>
          <w:p w:rsidR="00C762A8" w:rsidRPr="00C762A8" w:rsidRDefault="00C762A8" w:rsidP="00AF76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C762A8">
              <w:rPr>
                <w:iCs/>
                <w:color w:val="000000"/>
                <w:sz w:val="28"/>
                <w:szCs w:val="28"/>
              </w:rPr>
              <w:t>2022 год – 3890,7 тысяч рублей</w:t>
            </w:r>
          </w:p>
          <w:p w:rsidR="00C762A8" w:rsidRPr="00C762A8" w:rsidRDefault="00C762A8" w:rsidP="00AF7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2023 год – 571,0 тысяч рублей</w:t>
            </w:r>
          </w:p>
          <w:p w:rsidR="00C762A8" w:rsidRPr="00C762A8" w:rsidRDefault="00C762A8" w:rsidP="00AF76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2024 год – 571,0 тысяч рублей</w:t>
            </w:r>
          </w:p>
          <w:p w:rsidR="00C762A8" w:rsidRPr="00C762A8" w:rsidRDefault="00C762A8" w:rsidP="00AF76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762A8" w:rsidRPr="00C762A8" w:rsidTr="00AF765B">
        <w:tc>
          <w:tcPr>
            <w:tcW w:w="4758" w:type="dxa"/>
            <w:shd w:val="clear" w:color="auto" w:fill="auto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proofErr w:type="gramStart"/>
            <w:r w:rsidRPr="00C762A8">
              <w:rPr>
                <w:sz w:val="28"/>
                <w:szCs w:val="28"/>
              </w:rPr>
              <w:t>Контроль за</w:t>
            </w:r>
            <w:proofErr w:type="gramEnd"/>
            <w:r w:rsidRPr="00C762A8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C762A8" w:rsidRPr="00C762A8" w:rsidRDefault="00C762A8" w:rsidP="00AF765B">
            <w:pPr>
              <w:ind w:firstLine="318"/>
              <w:jc w:val="both"/>
              <w:rPr>
                <w:sz w:val="28"/>
                <w:szCs w:val="28"/>
              </w:rPr>
            </w:pPr>
            <w:r w:rsidRPr="00C762A8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C762A8">
              <w:rPr>
                <w:sz w:val="28"/>
                <w:szCs w:val="28"/>
              </w:rPr>
              <w:t>.</w:t>
            </w:r>
          </w:p>
        </w:tc>
      </w:tr>
    </w:tbl>
    <w:p w:rsidR="00C762A8" w:rsidRPr="00C762A8" w:rsidRDefault="00C762A8" w:rsidP="00C762A8">
      <w:pPr>
        <w:ind w:left="255"/>
        <w:jc w:val="center"/>
        <w:rPr>
          <w:sz w:val="16"/>
          <w:szCs w:val="16"/>
        </w:rPr>
      </w:pPr>
    </w:p>
    <w:p w:rsidR="00C762A8" w:rsidRPr="00C762A8" w:rsidRDefault="00C762A8" w:rsidP="00C762A8">
      <w:pPr>
        <w:numPr>
          <w:ilvl w:val="0"/>
          <w:numId w:val="3"/>
        </w:num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Характеристика текущего состояния и прогноза </w:t>
      </w:r>
    </w:p>
    <w:p w:rsidR="00C762A8" w:rsidRPr="00C762A8" w:rsidRDefault="00C762A8" w:rsidP="00C762A8">
      <w:pPr>
        <w:ind w:left="36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развития доступной среды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В настоящее время в муниципальном </w:t>
      </w:r>
      <w:r w:rsidRPr="00C762A8">
        <w:rPr>
          <w:sz w:val="28"/>
          <w:szCs w:val="28"/>
        </w:rPr>
        <w:lastRenderedPageBreak/>
        <w:t>образовании город Новороссийск проживает 16 963 инвалида, их них 1086 инвалидов 1 группы (380 инвалидов колясочников), 483 ребенка – инвалида.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 xml:space="preserve">, звуковыми и визуальными табло, позволит комфортно использовать пассажирский транспорт. Обеспечение доступности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Существующий уровень </w:t>
      </w:r>
      <w:proofErr w:type="spellStart"/>
      <w:r w:rsidRPr="00C762A8">
        <w:rPr>
          <w:sz w:val="28"/>
          <w:szCs w:val="28"/>
        </w:rPr>
        <w:t>безбарьерной</w:t>
      </w:r>
      <w:proofErr w:type="spellEnd"/>
      <w:r w:rsidRPr="00C762A8"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Реализация мероприятий подпрограммы «Доступная среда» позволит обеспечить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Обеспечение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 – </w:t>
      </w:r>
      <w:proofErr w:type="spellStart"/>
      <w:r w:rsidRPr="00C762A8">
        <w:rPr>
          <w:sz w:val="28"/>
          <w:szCs w:val="28"/>
        </w:rPr>
        <w:t>досуговые</w:t>
      </w:r>
      <w:proofErr w:type="spellEnd"/>
      <w:r w:rsidRPr="00C762A8">
        <w:rPr>
          <w:sz w:val="28"/>
          <w:szCs w:val="28"/>
        </w:rPr>
        <w:t>, образовательные и другие учреждения.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к жизни в обществе.</w:t>
      </w:r>
    </w:p>
    <w:p w:rsidR="00C762A8" w:rsidRPr="00C762A8" w:rsidRDefault="00C762A8" w:rsidP="00C762A8">
      <w:pPr>
        <w:ind w:firstLine="900"/>
        <w:jc w:val="center"/>
        <w:rPr>
          <w:sz w:val="16"/>
          <w:szCs w:val="16"/>
        </w:rPr>
      </w:pP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 </w:t>
      </w:r>
    </w:p>
    <w:p w:rsidR="00C762A8" w:rsidRPr="00C762A8" w:rsidRDefault="00C762A8" w:rsidP="00C762A8">
      <w:pPr>
        <w:ind w:firstLine="72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 w:rsidRPr="00C762A8">
        <w:rPr>
          <w:sz w:val="28"/>
          <w:szCs w:val="28"/>
        </w:rPr>
        <w:t>маломобильной</w:t>
      </w:r>
      <w:proofErr w:type="spellEnd"/>
      <w:r w:rsidRPr="00C762A8"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C762A8" w:rsidRPr="00C762A8" w:rsidRDefault="00C762A8" w:rsidP="00C762A8">
      <w:pPr>
        <w:ind w:firstLine="72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C762A8" w:rsidRPr="00C762A8" w:rsidRDefault="00C762A8" w:rsidP="00C762A8">
      <w:pPr>
        <w:ind w:firstLine="72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Повышение доли доступных объектов транспортной и инженерной инфраструктуры;</w:t>
      </w:r>
    </w:p>
    <w:p w:rsidR="00C762A8" w:rsidRPr="00C762A8" w:rsidRDefault="00C762A8" w:rsidP="00C762A8">
      <w:pPr>
        <w:ind w:firstLine="720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>, звуковыми и визуальными табло.</w:t>
      </w:r>
    </w:p>
    <w:p w:rsidR="00C762A8" w:rsidRPr="00C762A8" w:rsidRDefault="00C762A8" w:rsidP="00C762A8">
      <w:pPr>
        <w:ind w:firstLine="720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C762A8" w:rsidRPr="00C762A8" w:rsidTr="00AF765B">
        <w:tc>
          <w:tcPr>
            <w:tcW w:w="817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№</w:t>
            </w:r>
          </w:p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762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62A8">
              <w:rPr>
                <w:sz w:val="28"/>
                <w:szCs w:val="28"/>
              </w:rPr>
              <w:t>/</w:t>
            </w:r>
            <w:proofErr w:type="spellStart"/>
            <w:r w:rsidRPr="00C762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C762A8" w:rsidRPr="00C762A8" w:rsidTr="00AF765B">
        <w:tc>
          <w:tcPr>
            <w:tcW w:w="817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приоритетных объектов, доступных для инвалидов 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</w:tc>
        <w:tc>
          <w:tcPr>
            <w:tcW w:w="4501" w:type="dxa"/>
            <w:shd w:val="clear" w:color="auto" w:fill="auto"/>
          </w:tcPr>
          <w:p w:rsidR="00C762A8" w:rsidRPr="00C762A8" w:rsidRDefault="00C762A8" w:rsidP="00AF765B">
            <w:r w:rsidRPr="00C762A8">
              <w:rPr>
                <w:sz w:val="28"/>
                <w:szCs w:val="28"/>
              </w:rPr>
              <w:t xml:space="preserve">Показатель рассчитывается как отношение количества доступных для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к общему количеству приоритетных объектов в сфере инженерной и транспортной инфраструктуры муниципального образования город Новороссийск.</w:t>
            </w:r>
          </w:p>
        </w:tc>
      </w:tr>
      <w:tr w:rsidR="00C762A8" w:rsidRPr="00C762A8" w:rsidTr="00AF765B">
        <w:tc>
          <w:tcPr>
            <w:tcW w:w="817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оборудованного для перевозки инвалидов и других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</w:t>
            </w:r>
          </w:p>
        </w:tc>
        <w:tc>
          <w:tcPr>
            <w:tcW w:w="4501" w:type="dxa"/>
            <w:shd w:val="clear" w:color="auto" w:fill="auto"/>
          </w:tcPr>
          <w:p w:rsidR="00C762A8" w:rsidRPr="00C762A8" w:rsidRDefault="00C762A8" w:rsidP="00AF765B">
            <w:r w:rsidRPr="00C762A8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 в городе Новороссийске, оборудованного для перевозки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населения, к общему количеству муниципального состава автомобильного и наземного электрического транспорта общего пользования в городе Новороссийске</w:t>
            </w:r>
          </w:p>
        </w:tc>
      </w:tr>
    </w:tbl>
    <w:p w:rsidR="00C762A8" w:rsidRPr="00C762A8" w:rsidRDefault="00C762A8" w:rsidP="00C762A8">
      <w:pPr>
        <w:tabs>
          <w:tab w:val="left" w:pos="3912"/>
        </w:tabs>
        <w:jc w:val="both"/>
        <w:rPr>
          <w:sz w:val="16"/>
          <w:szCs w:val="16"/>
        </w:rPr>
      </w:pPr>
      <w:r w:rsidRPr="00C762A8">
        <w:rPr>
          <w:sz w:val="28"/>
          <w:szCs w:val="28"/>
        </w:rPr>
        <w:tab/>
      </w:r>
    </w:p>
    <w:p w:rsidR="00C762A8" w:rsidRPr="00C762A8" w:rsidRDefault="00C762A8" w:rsidP="00C762A8">
      <w:pPr>
        <w:ind w:firstLine="900"/>
        <w:rPr>
          <w:sz w:val="28"/>
          <w:szCs w:val="28"/>
        </w:rPr>
      </w:pPr>
      <w:r w:rsidRPr="00C762A8">
        <w:rPr>
          <w:sz w:val="28"/>
          <w:szCs w:val="28"/>
        </w:rPr>
        <w:t>Расчет значений показателей осуществляется ежегодно Управлением транспорта и дорожного хозяйства.</w:t>
      </w:r>
    </w:p>
    <w:p w:rsidR="00C762A8" w:rsidRPr="00C762A8" w:rsidRDefault="00C762A8" w:rsidP="00C762A8">
      <w:pPr>
        <w:rPr>
          <w:sz w:val="16"/>
          <w:szCs w:val="16"/>
        </w:rPr>
      </w:pP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3. Перечень и краткое описание мероприятий </w:t>
      </w:r>
    </w:p>
    <w:p w:rsidR="00C762A8" w:rsidRPr="00C762A8" w:rsidRDefault="00C762A8" w:rsidP="00C762A8">
      <w:pPr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муниципальной подпрограммы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3.1 Перечень мероприятий муниципальной Подпрограммы: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3.1.1 Обеспечение доступности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3.1.2 Обеспечение доступности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 xml:space="preserve">3.1.3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 xml:space="preserve"> </w:t>
      </w:r>
      <w:proofErr w:type="gramStart"/>
      <w:r w:rsidRPr="00C762A8">
        <w:rPr>
          <w:sz w:val="28"/>
          <w:szCs w:val="28"/>
        </w:rPr>
        <w:t>транспортными</w:t>
      </w:r>
      <w:proofErr w:type="gramEnd"/>
      <w:r w:rsidRPr="00C762A8">
        <w:rPr>
          <w:sz w:val="28"/>
          <w:szCs w:val="28"/>
        </w:rPr>
        <w:t xml:space="preserve"> (для ориентирования инвалидов по зрению);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3.1.4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 w:rsidRPr="00C762A8">
        <w:rPr>
          <w:sz w:val="28"/>
          <w:szCs w:val="28"/>
        </w:rPr>
        <w:t>останоках</w:t>
      </w:r>
      <w:proofErr w:type="spellEnd"/>
      <w:r w:rsidRPr="00C762A8">
        <w:rPr>
          <w:sz w:val="28"/>
          <w:szCs w:val="28"/>
        </w:rPr>
        <w:t xml:space="preserve">. </w:t>
      </w:r>
    </w:p>
    <w:p w:rsidR="00C762A8" w:rsidRPr="00C762A8" w:rsidRDefault="00C762A8" w:rsidP="00C762A8">
      <w:pPr>
        <w:ind w:firstLine="851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Мероприятия муниципальной Подпрограммы направлены на обеспечение доступности объектов транспортной и инженерной инфраструктуры для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категорий граждан.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proofErr w:type="gramStart"/>
      <w:r w:rsidRPr="00C762A8">
        <w:rPr>
          <w:sz w:val="28"/>
          <w:szCs w:val="28"/>
        </w:rPr>
        <w:t xml:space="preserve">Реализация мероприятий данной Подпрограммы позволит обеспечить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C762A8">
        <w:rPr>
          <w:sz w:val="28"/>
          <w:szCs w:val="28"/>
        </w:rPr>
        <w:t>радиоинформаторами</w:t>
      </w:r>
      <w:proofErr w:type="spellEnd"/>
      <w:r w:rsidRPr="00C762A8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 </w:t>
      </w:r>
      <w:proofErr w:type="gramEnd"/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 w:rsidRPr="00C762A8">
        <w:rPr>
          <w:sz w:val="28"/>
          <w:szCs w:val="28"/>
        </w:rPr>
        <w:t>маломобильных</w:t>
      </w:r>
      <w:proofErr w:type="spellEnd"/>
      <w:r w:rsidRPr="00C762A8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 путем обустройства путей движения для безопасного и удобного передвижения, обустроив пешеходные переходы, занизив бордюры на парковках для инвалидов, оборудовав остановочные пункты.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proofErr w:type="gramStart"/>
      <w:r w:rsidRPr="00C762A8"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C762A8">
        <w:rPr>
          <w:sz w:val="28"/>
          <w:szCs w:val="28"/>
        </w:rPr>
        <w:t>софинансирования</w:t>
      </w:r>
      <w:proofErr w:type="spellEnd"/>
      <w:r w:rsidRPr="00C762A8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C762A8"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>Объем финансирования муниципальной подпрограммы за счет средств бюджетов разных уровней составляет 5032,7</w:t>
      </w:r>
      <w:r w:rsidRPr="00C762A8">
        <w:rPr>
          <w:iCs/>
          <w:color w:val="000000"/>
          <w:sz w:val="28"/>
          <w:szCs w:val="28"/>
        </w:rPr>
        <w:t xml:space="preserve"> </w:t>
      </w:r>
      <w:r w:rsidRPr="00C762A8">
        <w:rPr>
          <w:sz w:val="28"/>
          <w:szCs w:val="28"/>
        </w:rPr>
        <w:t>тыс. руб., в том числе по годам реализации:</w:t>
      </w:r>
    </w:p>
    <w:p w:rsidR="00C762A8" w:rsidRPr="00C762A8" w:rsidRDefault="00C762A8" w:rsidP="00C762A8">
      <w:pPr>
        <w:ind w:firstLine="709"/>
        <w:jc w:val="both"/>
        <w:rPr>
          <w:iCs/>
          <w:sz w:val="28"/>
          <w:szCs w:val="28"/>
        </w:rPr>
      </w:pPr>
      <w:r w:rsidRPr="00C762A8">
        <w:rPr>
          <w:iCs/>
          <w:sz w:val="28"/>
          <w:szCs w:val="28"/>
        </w:rPr>
        <w:t>2022 год – 3890,7 тыс. руб.;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2023 год – 571,0  тыс. руб.;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2024 год – 571,0 тыс. руб.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C762A8" w:rsidRPr="00C762A8" w:rsidRDefault="00C762A8" w:rsidP="00C762A8">
      <w:pPr>
        <w:ind w:firstLine="90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lastRenderedPageBreak/>
        <w:t xml:space="preserve">6.Механизм реализации муниципальной Подпрограммы и </w:t>
      </w:r>
      <w:proofErr w:type="gramStart"/>
      <w:r w:rsidRPr="00C762A8">
        <w:rPr>
          <w:sz w:val="28"/>
          <w:szCs w:val="28"/>
        </w:rPr>
        <w:t>контроль за</w:t>
      </w:r>
      <w:proofErr w:type="gramEnd"/>
      <w:r w:rsidRPr="00C762A8">
        <w:rPr>
          <w:sz w:val="28"/>
          <w:szCs w:val="28"/>
        </w:rPr>
        <w:t xml:space="preserve"> ее выполнением.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Бюджетным кодексом Российской Федерации;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Постановлением Правительства РФ от 01.12.2015 года «Об утверждении государственной программы Российской Федерации «Доступная среда на 2011-2020 годы»;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C762A8" w:rsidRPr="00C762A8" w:rsidRDefault="00C762A8" w:rsidP="00C762A8">
      <w:pPr>
        <w:ind w:firstLine="709"/>
        <w:jc w:val="both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 xml:space="preserve">- </w:t>
      </w:r>
      <w:r w:rsidRPr="00C762A8">
        <w:rPr>
          <w:sz w:val="28"/>
          <w:szCs w:val="28"/>
        </w:rPr>
        <w:t>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 w:rsidRPr="00C762A8">
        <w:rPr>
          <w:color w:val="000000" w:themeColor="text1"/>
          <w:sz w:val="28"/>
          <w:szCs w:val="28"/>
        </w:rPr>
        <w:t>.</w:t>
      </w:r>
    </w:p>
    <w:p w:rsidR="00C762A8" w:rsidRPr="00C762A8" w:rsidRDefault="00C762A8" w:rsidP="00C762A8">
      <w:pPr>
        <w:ind w:firstLine="709"/>
        <w:jc w:val="both"/>
        <w:rPr>
          <w:sz w:val="28"/>
          <w:szCs w:val="28"/>
        </w:rPr>
      </w:pPr>
      <w:r w:rsidRPr="00C762A8">
        <w:rPr>
          <w:sz w:val="28"/>
          <w:szCs w:val="28"/>
        </w:rPr>
        <w:t>При реализации мероприятий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C762A8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C762A8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C762A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762A8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2A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Заместитель главы 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>муниципального образования</w:t>
      </w:r>
      <w:r w:rsidRPr="00C762A8">
        <w:rPr>
          <w:sz w:val="28"/>
          <w:szCs w:val="28"/>
        </w:rPr>
        <w:tab/>
        <w:t xml:space="preserve">                                  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 w:rsidP="00C762A8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C762A8" w:rsidRPr="00C762A8" w:rsidRDefault="00C762A8" w:rsidP="00C762A8">
      <w:pPr>
        <w:jc w:val="both"/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>Приложение № 4</w:t>
      </w: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>УТВЕРЖДЕНО</w:t>
      </w: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 xml:space="preserve">постановлением администрации </w:t>
      </w: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 xml:space="preserve">муниципального образования </w:t>
      </w: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>город Новороссийск</w:t>
      </w:r>
    </w:p>
    <w:p w:rsidR="00C762A8" w:rsidRPr="00C762A8" w:rsidRDefault="00C762A8" w:rsidP="00C762A8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C762A8">
        <w:rPr>
          <w:sz w:val="28"/>
          <w:szCs w:val="28"/>
        </w:rPr>
        <w:t>от _______________№_______</w:t>
      </w:r>
    </w:p>
    <w:p w:rsidR="00C762A8" w:rsidRPr="00C762A8" w:rsidRDefault="00C762A8" w:rsidP="00C762A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762A8" w:rsidRPr="00C762A8" w:rsidRDefault="00C762A8" w:rsidP="00C762A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 xml:space="preserve">ЦЕЛИ, ЗАДАЧИ, ЦЕЛЕВЫЕ ПОКАЗАТЕЛИ </w:t>
      </w:r>
    </w:p>
    <w:p w:rsidR="00C762A8" w:rsidRPr="00C762A8" w:rsidRDefault="00C762A8" w:rsidP="00C762A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реализации муниципальной программы «Доступная среда» на 2022-2024 годы</w:t>
      </w:r>
    </w:p>
    <w:p w:rsidR="00C762A8" w:rsidRPr="00C762A8" w:rsidRDefault="00C762A8" w:rsidP="00C762A8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C762A8" w:rsidRPr="00C762A8" w:rsidTr="00AF765B">
        <w:trPr>
          <w:trHeight w:val="327"/>
          <w:jc w:val="center"/>
        </w:trPr>
        <w:tc>
          <w:tcPr>
            <w:tcW w:w="813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762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62A8">
              <w:rPr>
                <w:sz w:val="24"/>
                <w:szCs w:val="24"/>
              </w:rPr>
              <w:t>/</w:t>
            </w:r>
            <w:proofErr w:type="spellStart"/>
            <w:r w:rsidRPr="00C762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Значение показателей</w:t>
            </w:r>
          </w:p>
        </w:tc>
      </w:tr>
      <w:tr w:rsidR="00C762A8" w:rsidRPr="00C762A8" w:rsidTr="00AF765B">
        <w:trPr>
          <w:jc w:val="center"/>
        </w:trPr>
        <w:tc>
          <w:tcPr>
            <w:tcW w:w="813" w:type="dxa"/>
            <w:vMerge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2022 год</w:t>
            </w: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2023 год</w:t>
            </w: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2024 год</w:t>
            </w:r>
          </w:p>
        </w:tc>
      </w:tr>
      <w:tr w:rsidR="00C762A8" w:rsidRPr="00C762A8" w:rsidTr="00AF765B">
        <w:trPr>
          <w:jc w:val="center"/>
        </w:trPr>
        <w:tc>
          <w:tcPr>
            <w:tcW w:w="813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7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</w:tcPr>
          <w:p w:rsidR="00C762A8" w:rsidRPr="00C762A8" w:rsidRDefault="00C762A8" w:rsidP="00C762A8">
            <w:pPr>
              <w:pStyle w:val="ac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62A8">
              <w:rPr>
                <w:b/>
                <w:sz w:val="28"/>
                <w:szCs w:val="28"/>
              </w:rPr>
              <w:t>Обеспечение доступности в области учреждений культуры и искусства.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  <w:vAlign w:val="center"/>
          </w:tcPr>
          <w:p w:rsidR="00C762A8" w:rsidRPr="00C762A8" w:rsidRDefault="00C762A8" w:rsidP="00AF765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культурной жизни общества путем обеспечения доступности учреждений культуры и искусства.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  <w:vAlign w:val="center"/>
          </w:tcPr>
          <w:p w:rsidR="00C762A8" w:rsidRPr="00C762A8" w:rsidRDefault="00C762A8" w:rsidP="00AF765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C762A8">
              <w:rPr>
                <w:sz w:val="28"/>
                <w:szCs w:val="28"/>
              </w:rPr>
              <w:t>Преодоление изоляции граждан с ограниченными возможностями и повышение их  активности в сфере культуры и искусства. Повышение доли доступных объектов в сфере культуры и искусства.</w:t>
            </w:r>
          </w:p>
        </w:tc>
      </w:tr>
      <w:tr w:rsidR="00C762A8" w:rsidRPr="00C762A8" w:rsidTr="00AF765B">
        <w:trPr>
          <w:jc w:val="center"/>
        </w:trPr>
        <w:tc>
          <w:tcPr>
            <w:tcW w:w="813" w:type="dxa"/>
          </w:tcPr>
          <w:p w:rsidR="00C762A8" w:rsidRPr="00C762A8" w:rsidRDefault="00C762A8" w:rsidP="00AF765B">
            <w:pPr>
              <w:jc w:val="center"/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7" w:type="dxa"/>
          </w:tcPr>
          <w:p w:rsidR="00C762A8" w:rsidRPr="00C762A8" w:rsidRDefault="00C762A8" w:rsidP="00AF7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других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</w:t>
            </w:r>
            <w:r w:rsidRPr="00C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в сфере культуры, в </w:t>
            </w:r>
            <w:proofErr w:type="gram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объектов в сфере культуры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C762A8" w:rsidRPr="00C762A8" w:rsidRDefault="00C762A8" w:rsidP="00AF7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66" w:type="dxa"/>
            <w:vAlign w:val="center"/>
          </w:tcPr>
          <w:p w:rsidR="00C762A8" w:rsidRPr="00C762A8" w:rsidRDefault="00C762A8" w:rsidP="00AF7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</w:tcPr>
          <w:p w:rsidR="00C762A8" w:rsidRPr="00C762A8" w:rsidRDefault="00C762A8" w:rsidP="00C762A8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доступности в области транспорта  и дорожного хозяйства.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  <w:vAlign w:val="center"/>
          </w:tcPr>
          <w:p w:rsidR="00C762A8" w:rsidRPr="00C762A8" w:rsidRDefault="00C762A8" w:rsidP="00AF765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маломобильной</w:t>
            </w:r>
            <w:proofErr w:type="spellEnd"/>
            <w:r w:rsidRPr="00C762A8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C762A8" w:rsidRPr="00C762A8" w:rsidTr="00AF765B">
        <w:trPr>
          <w:jc w:val="center"/>
        </w:trPr>
        <w:tc>
          <w:tcPr>
            <w:tcW w:w="15134" w:type="dxa"/>
            <w:gridSpan w:val="7"/>
            <w:vAlign w:val="center"/>
          </w:tcPr>
          <w:p w:rsidR="00C762A8" w:rsidRPr="00C762A8" w:rsidRDefault="00C762A8" w:rsidP="00AF765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C762A8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инфраструктуры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C762A8" w:rsidRPr="00C762A8" w:rsidTr="00AF765B">
        <w:trPr>
          <w:jc w:val="center"/>
        </w:trPr>
        <w:tc>
          <w:tcPr>
            <w:tcW w:w="813" w:type="dxa"/>
          </w:tcPr>
          <w:p w:rsidR="00C762A8" w:rsidRPr="00C762A8" w:rsidRDefault="00C762A8" w:rsidP="00AF765B">
            <w:pPr>
              <w:jc w:val="center"/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77" w:type="dxa"/>
            <w:vAlign w:val="center"/>
          </w:tcPr>
          <w:p w:rsidR="00C762A8" w:rsidRPr="00C762A8" w:rsidRDefault="00C762A8" w:rsidP="00AF7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для инвалидов и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</w:tc>
        <w:tc>
          <w:tcPr>
            <w:tcW w:w="1356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76</w:t>
            </w:r>
          </w:p>
        </w:tc>
      </w:tr>
      <w:tr w:rsidR="00C762A8" w:rsidRPr="00C762A8" w:rsidTr="00AF765B">
        <w:trPr>
          <w:jc w:val="center"/>
        </w:trPr>
        <w:tc>
          <w:tcPr>
            <w:tcW w:w="813" w:type="dxa"/>
          </w:tcPr>
          <w:p w:rsidR="00C762A8" w:rsidRPr="00C762A8" w:rsidRDefault="00C762A8" w:rsidP="00AF765B">
            <w:pPr>
              <w:jc w:val="center"/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7" w:type="dxa"/>
            <w:vAlign w:val="center"/>
          </w:tcPr>
          <w:p w:rsidR="00C762A8" w:rsidRPr="00C762A8" w:rsidRDefault="00C762A8" w:rsidP="00AF76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оборудованного для перевозки инвалидов и других </w:t>
            </w:r>
            <w:proofErr w:type="spellStart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 парке этого подвижного состава в городе Новороссийске</w:t>
            </w:r>
          </w:p>
        </w:tc>
        <w:tc>
          <w:tcPr>
            <w:tcW w:w="1356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62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75</w:t>
            </w:r>
          </w:p>
        </w:tc>
        <w:tc>
          <w:tcPr>
            <w:tcW w:w="2074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88</w:t>
            </w:r>
          </w:p>
        </w:tc>
      </w:tr>
    </w:tbl>
    <w:p w:rsidR="00C762A8" w:rsidRPr="00C762A8" w:rsidRDefault="00C762A8" w:rsidP="00C762A8">
      <w:pPr>
        <w:rPr>
          <w:sz w:val="16"/>
          <w:szCs w:val="16"/>
        </w:rPr>
      </w:pPr>
    </w:p>
    <w:p w:rsidR="00C762A8" w:rsidRPr="00C762A8" w:rsidRDefault="00C762A8" w:rsidP="00C762A8">
      <w:pPr>
        <w:rPr>
          <w:sz w:val="28"/>
          <w:szCs w:val="28"/>
        </w:rPr>
      </w:pP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>Заместитель главы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муниципального образования </w:t>
      </w:r>
    </w:p>
    <w:p w:rsidR="00C762A8" w:rsidRPr="00C762A8" w:rsidRDefault="00C762A8" w:rsidP="00C762A8">
      <w:pPr>
        <w:rPr>
          <w:sz w:val="28"/>
          <w:szCs w:val="28"/>
        </w:rPr>
      </w:pPr>
      <w:r w:rsidRPr="00C762A8">
        <w:rPr>
          <w:sz w:val="28"/>
          <w:szCs w:val="28"/>
        </w:rPr>
        <w:t xml:space="preserve">город Новороссийск </w:t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 xml:space="preserve">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 w:rsidP="00C762A8">
      <w:pPr>
        <w:jc w:val="both"/>
      </w:pPr>
    </w:p>
    <w:p w:rsidR="00C762A8" w:rsidRPr="00C762A8" w:rsidRDefault="00C762A8" w:rsidP="00C762A8"/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 w:rsidP="00C762A8">
      <w:pPr>
        <w:ind w:left="10490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>Приложение № 5</w:t>
      </w:r>
    </w:p>
    <w:p w:rsidR="00C762A8" w:rsidRPr="00C762A8" w:rsidRDefault="00C762A8" w:rsidP="00C762A8">
      <w:pPr>
        <w:ind w:left="10490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>УТВЕРЖДЕН</w:t>
      </w:r>
    </w:p>
    <w:p w:rsidR="00C762A8" w:rsidRPr="00C762A8" w:rsidRDefault="00C762A8" w:rsidP="00C762A8">
      <w:pPr>
        <w:ind w:left="10490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>постан</w:t>
      </w:r>
      <w:r w:rsidRPr="00C762A8">
        <w:rPr>
          <w:color w:val="000000" w:themeColor="text1"/>
          <w:sz w:val="28"/>
          <w:szCs w:val="28"/>
        </w:rPr>
        <w:lastRenderedPageBreak/>
        <w:t>овлением администрации муниципального образов</w:t>
      </w:r>
      <w:r w:rsidRPr="00C762A8">
        <w:rPr>
          <w:color w:val="000000" w:themeColor="text1"/>
          <w:sz w:val="28"/>
          <w:szCs w:val="28"/>
        </w:rPr>
        <w:lastRenderedPageBreak/>
        <w:t>ания город Новороссийск</w:t>
      </w:r>
    </w:p>
    <w:p w:rsidR="00C762A8" w:rsidRPr="00C762A8" w:rsidRDefault="00C762A8" w:rsidP="00C762A8">
      <w:pPr>
        <w:ind w:left="10490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>от ______________№____</w:t>
      </w:r>
      <w:r w:rsidRPr="00C762A8">
        <w:rPr>
          <w:color w:val="000000" w:themeColor="text1"/>
          <w:sz w:val="28"/>
          <w:szCs w:val="28"/>
        </w:rPr>
        <w:lastRenderedPageBreak/>
        <w:t>______</w:t>
      </w:r>
    </w:p>
    <w:p w:rsidR="00C762A8" w:rsidRPr="00C762A8" w:rsidRDefault="00C762A8" w:rsidP="00C762A8">
      <w:pPr>
        <w:jc w:val="center"/>
        <w:rPr>
          <w:color w:val="000000" w:themeColor="text1"/>
          <w:sz w:val="28"/>
          <w:szCs w:val="28"/>
        </w:rPr>
      </w:pPr>
    </w:p>
    <w:p w:rsidR="00C762A8" w:rsidRPr="00C762A8" w:rsidRDefault="00C762A8" w:rsidP="00C762A8">
      <w:pPr>
        <w:jc w:val="center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762A8" w:rsidRPr="00C762A8" w:rsidRDefault="00C762A8" w:rsidP="00C762A8">
      <w:pPr>
        <w:jc w:val="center"/>
        <w:rPr>
          <w:color w:val="000000" w:themeColor="text1"/>
          <w:sz w:val="28"/>
          <w:szCs w:val="28"/>
        </w:rPr>
      </w:pPr>
      <w:r w:rsidRPr="00C762A8">
        <w:rPr>
          <w:color w:val="000000" w:themeColor="text1"/>
          <w:sz w:val="28"/>
          <w:szCs w:val="28"/>
        </w:rPr>
        <w:t>«Доступная среда на 2022 -2024 годы»</w:t>
      </w:r>
    </w:p>
    <w:p w:rsidR="00C762A8" w:rsidRPr="00C762A8" w:rsidRDefault="00C762A8" w:rsidP="00C762A8">
      <w:pPr>
        <w:jc w:val="center"/>
        <w:rPr>
          <w:color w:val="000000" w:themeColor="text1"/>
          <w:sz w:val="28"/>
          <w:szCs w:val="28"/>
        </w:rPr>
      </w:pPr>
    </w:p>
    <w:tbl>
      <w:tblPr>
        <w:tblW w:w="15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2689"/>
        <w:gridCol w:w="8"/>
        <w:gridCol w:w="57"/>
        <w:gridCol w:w="1634"/>
        <w:gridCol w:w="1137"/>
        <w:gridCol w:w="34"/>
        <w:gridCol w:w="1101"/>
        <w:gridCol w:w="71"/>
        <w:gridCol w:w="77"/>
        <w:gridCol w:w="1061"/>
        <w:gridCol w:w="67"/>
        <w:gridCol w:w="71"/>
        <w:gridCol w:w="1140"/>
        <w:gridCol w:w="66"/>
        <w:gridCol w:w="2698"/>
        <w:gridCol w:w="142"/>
        <w:gridCol w:w="69"/>
        <w:gridCol w:w="2340"/>
        <w:gridCol w:w="9"/>
        <w:gridCol w:w="61"/>
      </w:tblGrid>
      <w:tr w:rsidR="00C762A8" w:rsidRPr="00C762A8" w:rsidTr="00AF765B">
        <w:trPr>
          <w:gridAfter w:val="1"/>
          <w:wAfter w:w="61" w:type="dxa"/>
          <w:trHeight w:val="337"/>
          <w:tblHeader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2A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762A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762A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C762A8" w:rsidRPr="00C762A8" w:rsidRDefault="00C762A8" w:rsidP="00AF765B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890"/>
          <w:tblHeader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</w:rPr>
            </w:pPr>
          </w:p>
        </w:tc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325"/>
        </w:trPr>
        <w:tc>
          <w:tcPr>
            <w:tcW w:w="1546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both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Подпрограмма:  «Обеспечение доступности в области учреждений культуры и искусства»</w:t>
            </w:r>
          </w:p>
        </w:tc>
      </w:tr>
      <w:tr w:rsidR="00C762A8" w:rsidRPr="00C762A8" w:rsidTr="00AF765B">
        <w:trPr>
          <w:gridAfter w:val="1"/>
          <w:wAfter w:w="61" w:type="dxa"/>
          <w:trHeight w:val="687"/>
        </w:trPr>
        <w:tc>
          <w:tcPr>
            <w:tcW w:w="15460" w:type="dxa"/>
            <w:gridSpan w:val="20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маломобильных</w:t>
            </w:r>
            <w:proofErr w:type="spellEnd"/>
            <w:r w:rsidRPr="00C762A8">
              <w:rPr>
                <w:sz w:val="28"/>
                <w:szCs w:val="28"/>
              </w:rPr>
              <w:t xml:space="preserve"> групп населения в сфере культурной жизни общества путем обеспечения доступности учреждений культуры и искусства.</w:t>
            </w:r>
          </w:p>
        </w:tc>
      </w:tr>
      <w:tr w:rsidR="00C762A8" w:rsidRPr="00C762A8" w:rsidTr="00AF765B">
        <w:trPr>
          <w:gridAfter w:val="1"/>
          <w:wAfter w:w="61" w:type="dxa"/>
          <w:trHeight w:val="555"/>
        </w:trPr>
        <w:tc>
          <w:tcPr>
            <w:tcW w:w="15460" w:type="dxa"/>
            <w:gridSpan w:val="20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Задача: Преодоление изоляции граждан с ограниченными возможностями и повышение их  активности в сфере культуры и искусства. Повышение доли доступных объектов в сфере культуры и искусства.</w:t>
            </w:r>
          </w:p>
        </w:tc>
      </w:tr>
      <w:tr w:rsidR="00C762A8" w:rsidRPr="00C762A8" w:rsidTr="00AF765B">
        <w:trPr>
          <w:gridAfter w:val="1"/>
          <w:wAfter w:w="61" w:type="dxa"/>
          <w:trHeight w:val="1028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Всего по мероприятиям</w:t>
            </w: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1460,0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  <w:lang w:val="en-US"/>
              </w:rPr>
              <w:t>7</w:t>
            </w:r>
            <w:r w:rsidRPr="00C762A8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730,0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>В 2022 году</w:t>
            </w:r>
            <w:r w:rsidRPr="00C762A8">
              <w:rPr>
                <w:color w:val="000000" w:themeColor="text1"/>
                <w:sz w:val="24"/>
                <w:szCs w:val="24"/>
              </w:rPr>
              <w:t xml:space="preserve"> приведение к доступности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-</w:t>
            </w:r>
            <w:r w:rsidRPr="00C762A8">
              <w:rPr>
                <w:color w:val="000000" w:themeColor="text1"/>
                <w:sz w:val="24"/>
                <w:szCs w:val="24"/>
                <w:shd w:val="clear" w:color="auto" w:fill="FFFFFF"/>
              </w:rPr>
              <w:t>МБУ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2A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«Централизованная клубная система» ДК 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  <w:shd w:val="clear" w:color="auto" w:fill="FFFFFF"/>
              </w:rPr>
              <w:t>п. Верхнебаканский;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-</w:t>
            </w:r>
            <w:r w:rsidRPr="00C762A8">
              <w:rPr>
                <w:color w:val="000000" w:themeColor="text1"/>
                <w:spacing w:val="17"/>
                <w:kern w:val="2"/>
                <w:sz w:val="24"/>
                <w:szCs w:val="24"/>
              </w:rPr>
              <w:t xml:space="preserve"> М</w:t>
            </w:r>
            <w:r w:rsidRPr="00C762A8">
              <w:rPr>
                <w:color w:val="000000" w:themeColor="text1"/>
                <w:sz w:val="24"/>
                <w:szCs w:val="24"/>
              </w:rPr>
              <w:t xml:space="preserve">БУДО «Детская музыкальная школа №1 имени А.С. </w:t>
            </w:r>
            <w:proofErr w:type="spellStart"/>
            <w:r w:rsidRPr="00C762A8">
              <w:rPr>
                <w:color w:val="000000" w:themeColor="text1"/>
                <w:sz w:val="24"/>
                <w:szCs w:val="24"/>
              </w:rPr>
              <w:t>Данини</w:t>
            </w:r>
            <w:proofErr w:type="spellEnd"/>
            <w:r w:rsidRPr="00C762A8">
              <w:rPr>
                <w:color w:val="000000" w:themeColor="text1"/>
                <w:sz w:val="24"/>
                <w:szCs w:val="24"/>
              </w:rPr>
              <w:t>»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>В 2023 году</w:t>
            </w:r>
            <w:r w:rsidRPr="00C762A8">
              <w:rPr>
                <w:color w:val="000000" w:themeColor="text1"/>
                <w:sz w:val="24"/>
                <w:szCs w:val="24"/>
              </w:rPr>
              <w:t xml:space="preserve"> приведение к доступности</w:t>
            </w:r>
          </w:p>
          <w:p w:rsidR="00C762A8" w:rsidRPr="00C762A8" w:rsidRDefault="00C762A8" w:rsidP="00AF765B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- МБУ Централизованная</w:t>
            </w:r>
          </w:p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клубная система ДК с. Мысхако;</w:t>
            </w:r>
          </w:p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62A8">
              <w:rPr>
                <w:rFonts w:ascii="Times New Roman" w:hAnsi="Times New Roman" w:cs="Times New Roman"/>
                <w:color w:val="000000" w:themeColor="text1"/>
              </w:rPr>
              <w:t>- МБУ «ЦСДБ» Библиотека-филиал №8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Управление культуры муниципального образования город Новороссийск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61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  <w:p w:rsidR="00C762A8" w:rsidRPr="00C762A8" w:rsidRDefault="00C762A8" w:rsidP="00AF765B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416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1554"/>
        </w:trPr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1460,0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730,0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730,0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12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6"/>
                <w:szCs w:val="26"/>
                <w:shd w:val="clear" w:color="auto" w:fill="FFFFFF"/>
              </w:rPr>
              <w:t>Создание условий доступности в МБУ «Централизованная клубная система» ДК п. Верхнебаканский</w:t>
            </w: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50,5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50,5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z w:val="26"/>
                <w:szCs w:val="26"/>
              </w:rPr>
              <w:t xml:space="preserve">В 2022 году приведение к доступности санитарной комнаты в здании ДК </w:t>
            </w:r>
          </w:p>
          <w:p w:rsidR="00C762A8" w:rsidRPr="00C762A8" w:rsidRDefault="00C762A8" w:rsidP="00AF765B">
            <w:pPr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z w:val="26"/>
                <w:szCs w:val="26"/>
              </w:rPr>
              <w:t xml:space="preserve">п. Верхнебаканский 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Управление культуры муниципального образования город Новороссийск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831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ind w:right="-112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36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383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50,5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50,5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88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54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shd w:val="clear" w:color="auto" w:fill="FFFFFF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pacing w:val="17"/>
                <w:kern w:val="2"/>
                <w:sz w:val="26"/>
                <w:szCs w:val="26"/>
              </w:rPr>
              <w:t xml:space="preserve">Создание условий </w:t>
            </w:r>
            <w:r w:rsidRPr="00C762A8">
              <w:rPr>
                <w:color w:val="000000"/>
                <w:spacing w:val="17"/>
                <w:kern w:val="2"/>
                <w:sz w:val="26"/>
                <w:szCs w:val="26"/>
              </w:rPr>
              <w:lastRenderedPageBreak/>
              <w:t>доступности в М</w:t>
            </w:r>
            <w:r w:rsidRPr="00C762A8">
              <w:rPr>
                <w:color w:val="000000"/>
                <w:sz w:val="26"/>
                <w:szCs w:val="26"/>
              </w:rPr>
              <w:t xml:space="preserve">БУДО «Детская музыкальная школа №1 имени А.С. </w:t>
            </w:r>
            <w:proofErr w:type="spellStart"/>
            <w:r w:rsidRPr="00C762A8">
              <w:rPr>
                <w:color w:val="000000"/>
                <w:sz w:val="26"/>
                <w:szCs w:val="26"/>
              </w:rPr>
              <w:t>Данини</w:t>
            </w:r>
            <w:proofErr w:type="spellEnd"/>
            <w:r w:rsidRPr="00C762A8">
              <w:rPr>
                <w:color w:val="000000"/>
                <w:sz w:val="26"/>
                <w:szCs w:val="26"/>
              </w:rPr>
              <w:t>»</w:t>
            </w:r>
          </w:p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  <w:p w:rsidR="00C762A8" w:rsidRPr="00C762A8" w:rsidRDefault="00C762A8" w:rsidP="00AF765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679,5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679,5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 xml:space="preserve">В 2022 году приведение к требованиям доступности </w:t>
            </w:r>
            <w:r w:rsidRPr="00C762A8">
              <w:rPr>
                <w:color w:val="000000"/>
                <w:sz w:val="24"/>
                <w:szCs w:val="24"/>
              </w:rPr>
              <w:lastRenderedPageBreak/>
              <w:t xml:space="preserve">МБУДО «Детская музыкальная школа №1 имени А.С. </w:t>
            </w:r>
            <w:proofErr w:type="spellStart"/>
            <w:r w:rsidRPr="00C762A8">
              <w:rPr>
                <w:color w:val="000000"/>
                <w:sz w:val="24"/>
                <w:szCs w:val="24"/>
              </w:rPr>
              <w:t>Данини</w:t>
            </w:r>
            <w:proofErr w:type="spellEnd"/>
            <w:r w:rsidRPr="00C762A8">
              <w:rPr>
                <w:color w:val="000000"/>
                <w:sz w:val="24"/>
                <w:szCs w:val="24"/>
              </w:rPr>
              <w:t>». Оборудование  пандуса и входной группы.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lastRenderedPageBreak/>
              <w:t xml:space="preserve">Управление </w:t>
            </w:r>
            <w:r w:rsidRPr="00C762A8">
              <w:rPr>
                <w:sz w:val="26"/>
                <w:szCs w:val="26"/>
              </w:rPr>
              <w:lastRenderedPageBreak/>
              <w:t>культуры муниципального образования город Новороссийск</w:t>
            </w:r>
          </w:p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762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ind w:right="-112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692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812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679,5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679,5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2975" w:type="dxa"/>
            <w:gridSpan w:val="4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62A8" w:rsidRPr="00C762A8" w:rsidTr="00AF765B">
        <w:trPr>
          <w:trHeight w:val="70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1.3.</w:t>
            </w:r>
          </w:p>
        </w:tc>
        <w:tc>
          <w:tcPr>
            <w:tcW w:w="2689" w:type="dxa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pacing w:val="17"/>
                <w:kern w:val="2"/>
                <w:sz w:val="26"/>
                <w:szCs w:val="26"/>
              </w:rPr>
              <w:t xml:space="preserve">Создание условий доступности в </w:t>
            </w:r>
            <w:r w:rsidRPr="00C762A8">
              <w:rPr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C762A8">
              <w:rPr>
                <w:color w:val="000000"/>
                <w:sz w:val="26"/>
                <w:szCs w:val="26"/>
              </w:rPr>
              <w:t>Централизованная</w:t>
            </w:r>
            <w:proofErr w:type="gramEnd"/>
          </w:p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/>
                <w:sz w:val="26"/>
                <w:szCs w:val="26"/>
              </w:rPr>
              <w:t>клубная система ДК с. Мысхако</w:t>
            </w: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Cs/>
                <w:sz w:val="28"/>
                <w:szCs w:val="28"/>
              </w:rPr>
            </w:pPr>
            <w:r w:rsidRPr="00C762A8">
              <w:rPr>
                <w:bCs/>
                <w:sz w:val="28"/>
                <w:szCs w:val="28"/>
              </w:rPr>
              <w:t>480,0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8" w:type="dxa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 xml:space="preserve">В 2023 году приведение к доступности МБУ </w:t>
            </w:r>
            <w:proofErr w:type="gramStart"/>
            <w:r w:rsidRPr="00C762A8">
              <w:rPr>
                <w:color w:val="000000"/>
                <w:sz w:val="24"/>
                <w:szCs w:val="24"/>
              </w:rPr>
              <w:t>Централизованная</w:t>
            </w:r>
            <w:proofErr w:type="gramEnd"/>
          </w:p>
          <w:p w:rsidR="00C762A8" w:rsidRPr="00C762A8" w:rsidRDefault="00C762A8" w:rsidP="00AF765B">
            <w:pPr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z w:val="24"/>
                <w:szCs w:val="24"/>
              </w:rPr>
              <w:t>клубная система ДК с. Мысхако -  обустройство пандуса и входной группы, приведение к доступности санитарной комнаты.</w:t>
            </w:r>
          </w:p>
        </w:tc>
        <w:tc>
          <w:tcPr>
            <w:tcW w:w="2621" w:type="dxa"/>
            <w:gridSpan w:val="5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Управление культуры муниципального образования город Новороссийск</w:t>
            </w:r>
          </w:p>
        </w:tc>
      </w:tr>
      <w:tr w:rsidR="00C762A8" w:rsidRPr="00C762A8" w:rsidTr="00AF765B">
        <w:trPr>
          <w:trHeight w:val="488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ind w:right="-136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Cs/>
                <w:sz w:val="28"/>
                <w:szCs w:val="28"/>
              </w:rPr>
            </w:pPr>
            <w:r w:rsidRPr="00C762A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8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</w:tc>
      </w:tr>
      <w:tr w:rsidR="00C762A8" w:rsidRPr="00C762A8" w:rsidTr="00AF765B">
        <w:trPr>
          <w:trHeight w:val="354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Cs/>
                <w:sz w:val="28"/>
                <w:szCs w:val="28"/>
              </w:rPr>
            </w:pPr>
            <w:r w:rsidRPr="00C762A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8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</w:tc>
      </w:tr>
      <w:tr w:rsidR="00C762A8" w:rsidRPr="00C762A8" w:rsidTr="00AF765B">
        <w:trPr>
          <w:trHeight w:val="1043"/>
        </w:trPr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bCs/>
                <w:sz w:val="28"/>
                <w:szCs w:val="28"/>
              </w:rPr>
            </w:pPr>
            <w:r w:rsidRPr="00C762A8">
              <w:rPr>
                <w:bCs/>
                <w:sz w:val="28"/>
                <w:szCs w:val="28"/>
              </w:rPr>
              <w:t>480,0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1439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689" w:type="dxa"/>
            <w:vMerge w:val="restart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62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доступности в МБУ «ЦСДБ» Библиотека-филиал №8, расположенный по адресу: г. Новороссийск, ул</w:t>
            </w:r>
            <w:proofErr w:type="gramStart"/>
            <w:r w:rsidRPr="00C762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  <w:r w:rsidRPr="00C762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ефодиевская, 118 «Б»</w:t>
            </w: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/>
                <w:sz w:val="24"/>
                <w:szCs w:val="24"/>
              </w:rPr>
            </w:pPr>
            <w:r w:rsidRPr="00C762A8">
              <w:rPr>
                <w:color w:val="000000"/>
                <w:sz w:val="24"/>
                <w:szCs w:val="24"/>
              </w:rPr>
              <w:t xml:space="preserve">В 2023 году приведение к доступности для </w:t>
            </w:r>
            <w:proofErr w:type="spellStart"/>
            <w:r w:rsidRPr="00C762A8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762A8">
              <w:rPr>
                <w:color w:val="000000"/>
                <w:sz w:val="24"/>
                <w:szCs w:val="24"/>
              </w:rPr>
              <w:t xml:space="preserve"> групп населения МБУ «ЦСДБ» Библиотеки-филиала №8</w:t>
            </w:r>
          </w:p>
          <w:p w:rsidR="00C762A8" w:rsidRPr="00C762A8" w:rsidRDefault="00C762A8" w:rsidP="00AF765B">
            <w:pPr>
              <w:rPr>
                <w:color w:val="000000"/>
                <w:sz w:val="26"/>
                <w:szCs w:val="26"/>
              </w:rPr>
            </w:pPr>
            <w:r w:rsidRPr="00C762A8">
              <w:rPr>
                <w:color w:val="000000"/>
                <w:sz w:val="24"/>
                <w:szCs w:val="24"/>
              </w:rPr>
              <w:t>( г. Новороссийск, ул</w:t>
            </w:r>
            <w:proofErr w:type="gramStart"/>
            <w:r w:rsidRPr="00C762A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762A8">
              <w:rPr>
                <w:color w:val="000000"/>
                <w:sz w:val="24"/>
                <w:szCs w:val="24"/>
              </w:rPr>
              <w:t>ефодиевская, дом 118 Б) – обустройство санитарной комнаты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Управление культуры муниципального образования город Новороссийск</w:t>
            </w:r>
          </w:p>
        </w:tc>
      </w:tr>
      <w:tr w:rsidR="00C762A8" w:rsidRPr="00C762A8" w:rsidTr="00AF765B">
        <w:trPr>
          <w:gridAfter w:val="2"/>
          <w:wAfter w:w="70" w:type="dxa"/>
          <w:trHeight w:val="797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ind w:right="-110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670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ind w:right="-110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650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62A8" w:rsidRPr="00C762A8" w:rsidRDefault="00C762A8" w:rsidP="00AF765B">
            <w:pPr>
              <w:ind w:right="-110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283" w:type="dxa"/>
            <w:gridSpan w:val="4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8" w:type="dxa"/>
            <w:gridSpan w:val="2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412"/>
        </w:trPr>
        <w:tc>
          <w:tcPr>
            <w:tcW w:w="15451" w:type="dxa"/>
            <w:gridSpan w:val="19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 xml:space="preserve">Подпрограмма: </w:t>
            </w:r>
            <w:r w:rsidRPr="00C762A8">
              <w:rPr>
                <w:sz w:val="28"/>
                <w:szCs w:val="28"/>
              </w:rPr>
              <w:t>«Обеспечение доступности в области транспорта  и дорожного хозяйства муниципального образования город Новороссийск на 2022-2024 годы»</w:t>
            </w:r>
          </w:p>
        </w:tc>
      </w:tr>
      <w:tr w:rsidR="00C762A8" w:rsidRPr="00C762A8" w:rsidTr="00AF765B">
        <w:trPr>
          <w:gridAfter w:val="2"/>
          <w:wAfter w:w="70" w:type="dxa"/>
          <w:trHeight w:val="412"/>
        </w:trPr>
        <w:tc>
          <w:tcPr>
            <w:tcW w:w="15451" w:type="dxa"/>
            <w:gridSpan w:val="19"/>
            <w:vAlign w:val="center"/>
          </w:tcPr>
          <w:p w:rsidR="00C762A8" w:rsidRPr="00C762A8" w:rsidRDefault="00C762A8" w:rsidP="00AF76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C762A8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C762A8">
              <w:rPr>
                <w:sz w:val="28"/>
                <w:szCs w:val="28"/>
              </w:rPr>
              <w:t>маломобильной</w:t>
            </w:r>
            <w:proofErr w:type="spellEnd"/>
            <w:r w:rsidRPr="00C762A8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C762A8" w:rsidRPr="00C762A8" w:rsidTr="00AF765B">
        <w:trPr>
          <w:gridAfter w:val="2"/>
          <w:wAfter w:w="70" w:type="dxa"/>
          <w:trHeight w:val="412"/>
        </w:trPr>
        <w:tc>
          <w:tcPr>
            <w:tcW w:w="15451" w:type="dxa"/>
            <w:gridSpan w:val="19"/>
            <w:vAlign w:val="center"/>
          </w:tcPr>
          <w:p w:rsidR="00C762A8" w:rsidRPr="00C762A8" w:rsidRDefault="00C762A8" w:rsidP="00AF765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C762A8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C762A8" w:rsidRPr="00C762A8" w:rsidTr="00AF765B">
        <w:trPr>
          <w:gridAfter w:val="2"/>
          <w:wAfter w:w="70" w:type="dxa"/>
          <w:trHeight w:val="412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Всего по мероприятиям</w:t>
            </w: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762A8" w:rsidRPr="00C762A8" w:rsidRDefault="00C762A8" w:rsidP="00AF765B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5032,7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3890,7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2022 год: приведение к требованиям доступности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 xml:space="preserve">15 пешеходных переходов; 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 xml:space="preserve">Оборудование 6 остановочных </w:t>
            </w:r>
            <w:r w:rsidRPr="00C762A8">
              <w:rPr>
                <w:color w:val="000000" w:themeColor="text1"/>
                <w:sz w:val="24"/>
                <w:szCs w:val="24"/>
              </w:rPr>
              <w:lastRenderedPageBreak/>
              <w:t>комплексов;</w:t>
            </w: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Ежегодно оснащение пассажирского общественного транспорта информационными системами:</w:t>
            </w: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2022 год- 9 комплектов;</w:t>
            </w: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2023 год- 9 комплектов;</w:t>
            </w:r>
          </w:p>
          <w:p w:rsidR="00C762A8" w:rsidRPr="00C762A8" w:rsidRDefault="00C762A8" w:rsidP="00AF765B">
            <w:pPr>
              <w:rPr>
                <w:sz w:val="26"/>
                <w:szCs w:val="26"/>
              </w:rPr>
            </w:pPr>
            <w:r w:rsidRPr="00C762A8">
              <w:rPr>
                <w:sz w:val="24"/>
                <w:szCs w:val="24"/>
              </w:rPr>
              <w:t>2024 год- 9 комплектов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lastRenderedPageBreak/>
              <w:t>«Управление транспорта и дорожного хозяйства»</w:t>
            </w:r>
          </w:p>
        </w:tc>
      </w:tr>
      <w:tr w:rsidR="00C762A8" w:rsidRPr="00C762A8" w:rsidTr="00AF765B">
        <w:trPr>
          <w:gridAfter w:val="2"/>
          <w:wAfter w:w="70" w:type="dxa"/>
          <w:trHeight w:val="505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ind w:right="-110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412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  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1090"/>
        </w:trPr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5032,7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3890,7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9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547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C762A8">
              <w:rPr>
                <w:sz w:val="26"/>
                <w:szCs w:val="26"/>
              </w:rPr>
              <w:t>маломобильных</w:t>
            </w:r>
            <w:proofErr w:type="spellEnd"/>
            <w:r w:rsidRPr="00C762A8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138" w:type="dxa"/>
            <w:gridSpan w:val="2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 xml:space="preserve">Обустройство путей движения для безопасного и удобного движения инвалидов. 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2022 год: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 xml:space="preserve">15 пешеходных переходов 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C762A8" w:rsidRPr="00C762A8" w:rsidTr="00AF765B">
        <w:trPr>
          <w:gridAfter w:val="2"/>
          <w:wAfter w:w="70" w:type="dxa"/>
          <w:trHeight w:val="697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ind w:right="-112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692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689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429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C762A8">
              <w:rPr>
                <w:sz w:val="26"/>
                <w:szCs w:val="26"/>
              </w:rPr>
              <w:t>маломобильных</w:t>
            </w:r>
            <w:proofErr w:type="spellEnd"/>
            <w:r w:rsidRPr="00C762A8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Оборудование  остановочных комплексов.</w:t>
            </w:r>
          </w:p>
          <w:p w:rsidR="00C762A8" w:rsidRPr="00C762A8" w:rsidRDefault="00C762A8" w:rsidP="00AF765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t>2022 год-6 остановочных комплексов</w:t>
            </w:r>
          </w:p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C762A8" w:rsidRPr="00C762A8" w:rsidTr="00AF765B">
        <w:trPr>
          <w:gridAfter w:val="2"/>
          <w:wAfter w:w="70" w:type="dxa"/>
          <w:trHeight w:val="408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ind w:right="-112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416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603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1189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62A8">
              <w:rPr>
                <w:color w:val="000000" w:themeColor="text1"/>
                <w:sz w:val="24"/>
                <w:szCs w:val="24"/>
              </w:rPr>
              <w:lastRenderedPageBreak/>
              <w:t>2.3.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lastRenderedPageBreak/>
              <w:t xml:space="preserve">Организация транспортного обслуживания </w:t>
            </w:r>
            <w:r w:rsidRPr="00C762A8">
              <w:rPr>
                <w:sz w:val="26"/>
                <w:szCs w:val="26"/>
              </w:rPr>
              <w:lastRenderedPageBreak/>
              <w:t xml:space="preserve">населения путем оснащения пассажирского транспорта звуковыми и (или) визуальными (табло, дисплей) информационными системами для обеспечения инвалидов и других </w:t>
            </w:r>
            <w:proofErr w:type="spellStart"/>
            <w:r w:rsidRPr="00C762A8">
              <w:rPr>
                <w:sz w:val="26"/>
                <w:szCs w:val="26"/>
              </w:rPr>
              <w:t>маломобильных</w:t>
            </w:r>
            <w:proofErr w:type="spellEnd"/>
            <w:r w:rsidRPr="00C762A8">
              <w:rPr>
                <w:sz w:val="26"/>
                <w:szCs w:val="26"/>
              </w:rPr>
              <w:t xml:space="preserve"> групп населения, а также других пассажиров сообщениями о маршруте следования и остановках.</w:t>
            </w: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906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 xml:space="preserve">Оснащение пассажирского общественного транспорта звуковыми и </w:t>
            </w:r>
            <w:r w:rsidRPr="00C762A8">
              <w:rPr>
                <w:sz w:val="24"/>
                <w:szCs w:val="24"/>
              </w:rPr>
              <w:lastRenderedPageBreak/>
              <w:t>(или) визуальными (табло, дисплей) информационными системами</w:t>
            </w:r>
          </w:p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2022 г.- 9 комплектов;</w:t>
            </w: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2023 г.- 9 комплектов;</w:t>
            </w:r>
          </w:p>
          <w:p w:rsidR="00C762A8" w:rsidRPr="00C762A8" w:rsidRDefault="00C762A8" w:rsidP="00AF765B">
            <w:pPr>
              <w:rPr>
                <w:sz w:val="24"/>
                <w:szCs w:val="24"/>
              </w:rPr>
            </w:pPr>
            <w:r w:rsidRPr="00C762A8">
              <w:rPr>
                <w:sz w:val="24"/>
                <w:szCs w:val="24"/>
              </w:rPr>
              <w:t>2024 г.- 9 комплектов.</w:t>
            </w: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lastRenderedPageBreak/>
              <w:t xml:space="preserve">«Управление транспорта и дорожного </w:t>
            </w:r>
            <w:r w:rsidRPr="00C762A8">
              <w:rPr>
                <w:sz w:val="26"/>
                <w:szCs w:val="26"/>
              </w:rPr>
              <w:lastRenderedPageBreak/>
              <w:t>хозяйства»</w:t>
            </w:r>
          </w:p>
          <w:p w:rsidR="00C762A8" w:rsidRPr="00C762A8" w:rsidRDefault="00C762A8" w:rsidP="00AF765B">
            <w:pPr>
              <w:jc w:val="center"/>
              <w:rPr>
                <w:sz w:val="26"/>
                <w:szCs w:val="26"/>
              </w:rPr>
            </w:pPr>
          </w:p>
          <w:p w:rsidR="00C762A8" w:rsidRPr="00C762A8" w:rsidRDefault="00C762A8" w:rsidP="00AF76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762A8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C762A8" w:rsidRPr="00C762A8" w:rsidTr="00AF765B">
        <w:trPr>
          <w:gridAfter w:val="2"/>
          <w:wAfter w:w="70" w:type="dxa"/>
          <w:trHeight w:val="1174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1507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2"/>
          <w:wAfter w:w="70" w:type="dxa"/>
          <w:trHeight w:val="1323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138" w:type="dxa"/>
            <w:gridSpan w:val="2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1278" w:type="dxa"/>
            <w:gridSpan w:val="3"/>
            <w:vAlign w:val="center"/>
          </w:tcPr>
          <w:p w:rsidR="00C762A8" w:rsidRPr="00C762A8" w:rsidRDefault="00C762A8" w:rsidP="00AF765B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762A8">
              <w:rPr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906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93"/>
        </w:trPr>
        <w:tc>
          <w:tcPr>
            <w:tcW w:w="989" w:type="dxa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sz w:val="28"/>
                <w:szCs w:val="28"/>
              </w:rPr>
            </w:pPr>
            <w:r w:rsidRPr="00C762A8">
              <w:rPr>
                <w:b/>
                <w:sz w:val="28"/>
                <w:szCs w:val="28"/>
              </w:rPr>
              <w:t>ИТОГО</w:t>
            </w:r>
          </w:p>
          <w:p w:rsidR="00C762A8" w:rsidRPr="00C762A8" w:rsidRDefault="00C762A8" w:rsidP="00AF765B">
            <w:pPr>
              <w:jc w:val="center"/>
              <w:rPr>
                <w:b/>
                <w:sz w:val="28"/>
                <w:szCs w:val="28"/>
              </w:rPr>
            </w:pPr>
            <w:r w:rsidRPr="00C762A8">
              <w:rPr>
                <w:b/>
                <w:sz w:val="28"/>
                <w:szCs w:val="28"/>
              </w:rPr>
              <w:t>по программе:</w:t>
            </w:r>
          </w:p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  <w:lang w:val="en-US"/>
              </w:rPr>
              <w:t>6492</w:t>
            </w:r>
            <w:r w:rsidRPr="00C762A8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762A8">
              <w:rPr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4620,7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1301,0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C762A8" w:rsidRPr="00C762A8" w:rsidRDefault="00C762A8" w:rsidP="00AF76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Merge w:val="restart"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828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ind w:left="-17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 xml:space="preserve">  федеральный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58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</w:tr>
      <w:tr w:rsidR="00C762A8" w:rsidRPr="00C762A8" w:rsidTr="00AF765B">
        <w:trPr>
          <w:gridAfter w:val="1"/>
          <w:wAfter w:w="61" w:type="dxa"/>
          <w:trHeight w:val="566"/>
        </w:trPr>
        <w:tc>
          <w:tcPr>
            <w:tcW w:w="989" w:type="dxa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Merge/>
            <w:vAlign w:val="center"/>
          </w:tcPr>
          <w:p w:rsidR="00C762A8" w:rsidRPr="00C762A8" w:rsidRDefault="00C762A8" w:rsidP="00AF765B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762A8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  <w:lang w:val="en-US"/>
              </w:rPr>
              <w:t>6492</w:t>
            </w:r>
            <w:r w:rsidRPr="00C762A8"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C762A8">
              <w:rPr>
                <w:b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4620,7</w:t>
            </w:r>
          </w:p>
        </w:tc>
        <w:tc>
          <w:tcPr>
            <w:tcW w:w="1276" w:type="dxa"/>
            <w:gridSpan w:val="4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1301,0</w:t>
            </w:r>
          </w:p>
        </w:tc>
        <w:tc>
          <w:tcPr>
            <w:tcW w:w="1277" w:type="dxa"/>
            <w:gridSpan w:val="3"/>
            <w:vAlign w:val="center"/>
          </w:tcPr>
          <w:p w:rsidR="00C762A8" w:rsidRPr="00C762A8" w:rsidRDefault="00C762A8" w:rsidP="00AF76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62A8">
              <w:rPr>
                <w:b/>
                <w:color w:val="000000" w:themeColor="text1"/>
                <w:sz w:val="28"/>
                <w:szCs w:val="28"/>
              </w:rPr>
              <w:t>571,0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vMerge/>
            <w:vAlign w:val="center"/>
          </w:tcPr>
          <w:p w:rsidR="00C762A8" w:rsidRPr="00C762A8" w:rsidRDefault="00C762A8" w:rsidP="00AF76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62A8" w:rsidRPr="00C762A8" w:rsidRDefault="00C762A8" w:rsidP="00C762A8"/>
    <w:p w:rsidR="00C762A8" w:rsidRPr="00C762A8" w:rsidRDefault="00C762A8" w:rsidP="00C762A8">
      <w:pPr>
        <w:jc w:val="right"/>
        <w:rPr>
          <w:sz w:val="28"/>
          <w:szCs w:val="28"/>
        </w:rPr>
      </w:pPr>
    </w:p>
    <w:p w:rsidR="00C762A8" w:rsidRPr="00C762A8" w:rsidRDefault="00C762A8" w:rsidP="00C762A8">
      <w:pPr>
        <w:jc w:val="right"/>
        <w:rPr>
          <w:sz w:val="28"/>
          <w:szCs w:val="28"/>
        </w:rPr>
      </w:pPr>
      <w:r w:rsidRPr="00C762A8">
        <w:rPr>
          <w:sz w:val="28"/>
          <w:szCs w:val="28"/>
        </w:rPr>
        <w:t>Заместитель главы муниципального образования</w:t>
      </w:r>
      <w:r w:rsidRPr="00C762A8">
        <w:rPr>
          <w:sz w:val="28"/>
          <w:szCs w:val="28"/>
        </w:rPr>
        <w:tab/>
        <w:t xml:space="preserve">      </w:t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 xml:space="preserve">       </w:t>
      </w:r>
      <w:r w:rsidRPr="00C762A8">
        <w:rPr>
          <w:sz w:val="28"/>
          <w:szCs w:val="28"/>
        </w:rPr>
        <w:tab/>
      </w:r>
      <w:r w:rsidRPr="00C762A8">
        <w:rPr>
          <w:sz w:val="28"/>
          <w:szCs w:val="28"/>
        </w:rPr>
        <w:tab/>
        <w:t xml:space="preserve"> </w:t>
      </w:r>
      <w:r w:rsidRPr="00C762A8">
        <w:rPr>
          <w:sz w:val="28"/>
          <w:szCs w:val="28"/>
        </w:rPr>
        <w:tab/>
        <w:t xml:space="preserve">                              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92"/>
        <w:gridCol w:w="5692"/>
      </w:tblGrid>
      <w:tr w:rsidR="00C762A8" w:rsidRPr="00C762A8" w:rsidTr="00AF765B">
        <w:tc>
          <w:tcPr>
            <w:tcW w:w="3992" w:type="dxa"/>
          </w:tcPr>
          <w:p w:rsidR="00C762A8" w:rsidRPr="00C762A8" w:rsidRDefault="00C762A8" w:rsidP="00AF765B">
            <w:pPr>
              <w:jc w:val="center"/>
            </w:pPr>
          </w:p>
        </w:tc>
        <w:tc>
          <w:tcPr>
            <w:tcW w:w="5692" w:type="dxa"/>
          </w:tcPr>
          <w:p w:rsidR="00C762A8" w:rsidRPr="00C762A8" w:rsidRDefault="00C762A8" w:rsidP="00AF765B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762A8" w:rsidRPr="00C762A8" w:rsidRDefault="00C762A8" w:rsidP="00AF765B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762A8" w:rsidRPr="00C762A8" w:rsidRDefault="00C762A8" w:rsidP="00AF765B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762A8" w:rsidRPr="00C762A8" w:rsidRDefault="00C762A8" w:rsidP="00AF765B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762A8" w:rsidRPr="00C762A8" w:rsidRDefault="00C762A8" w:rsidP="00AF765B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762A8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C762A8" w:rsidRPr="00C762A8" w:rsidRDefault="00C762A8" w:rsidP="00AF765B">
            <w:pPr>
              <w:ind w:left="744"/>
              <w:rPr>
                <w:b/>
              </w:rPr>
            </w:pPr>
            <w:r w:rsidRPr="00C762A8">
              <w:rPr>
                <w:sz w:val="28"/>
                <w:szCs w:val="28"/>
              </w:rPr>
              <w:t>от _______________. № ______</w:t>
            </w:r>
          </w:p>
        </w:tc>
      </w:tr>
      <w:tr w:rsidR="00C762A8" w:rsidRPr="00C762A8" w:rsidTr="00AF765B">
        <w:tc>
          <w:tcPr>
            <w:tcW w:w="3992" w:type="dxa"/>
          </w:tcPr>
          <w:p w:rsidR="00C762A8" w:rsidRPr="00C762A8" w:rsidRDefault="00C762A8" w:rsidP="00AF765B">
            <w:pPr>
              <w:jc w:val="center"/>
            </w:pPr>
          </w:p>
        </w:tc>
        <w:tc>
          <w:tcPr>
            <w:tcW w:w="5692" w:type="dxa"/>
          </w:tcPr>
          <w:p w:rsidR="00C762A8" w:rsidRPr="00C762A8" w:rsidRDefault="00C762A8" w:rsidP="00AF765B">
            <w:pPr>
              <w:ind w:left="744"/>
              <w:rPr>
                <w:b/>
              </w:rPr>
            </w:pPr>
          </w:p>
        </w:tc>
      </w:tr>
    </w:tbl>
    <w:p w:rsidR="00C762A8" w:rsidRPr="00C762A8" w:rsidRDefault="00C762A8" w:rsidP="00C762A8"/>
    <w:p w:rsidR="00C762A8" w:rsidRPr="00C762A8" w:rsidRDefault="00C762A8" w:rsidP="00C762A8">
      <w:pPr>
        <w:ind w:firstLine="360"/>
        <w:jc w:val="center"/>
        <w:rPr>
          <w:sz w:val="28"/>
          <w:szCs w:val="28"/>
        </w:rPr>
      </w:pPr>
    </w:p>
    <w:p w:rsidR="00C762A8" w:rsidRPr="00C762A8" w:rsidRDefault="00C762A8" w:rsidP="00C762A8">
      <w:pPr>
        <w:ind w:firstLine="360"/>
        <w:jc w:val="center"/>
        <w:rPr>
          <w:sz w:val="28"/>
          <w:szCs w:val="28"/>
        </w:rPr>
      </w:pPr>
    </w:p>
    <w:p w:rsidR="00C762A8" w:rsidRPr="00C762A8" w:rsidRDefault="00C762A8" w:rsidP="00C762A8">
      <w:pPr>
        <w:ind w:firstLine="360"/>
        <w:jc w:val="center"/>
        <w:rPr>
          <w:sz w:val="28"/>
          <w:szCs w:val="28"/>
        </w:rPr>
      </w:pPr>
      <w:r w:rsidRPr="00C762A8">
        <w:rPr>
          <w:sz w:val="28"/>
          <w:szCs w:val="28"/>
        </w:rPr>
        <w:t>ОБОСНОВАНИЕ РЕСУРСНОГО ОБЕСПЕЧЕНИЯ</w:t>
      </w:r>
    </w:p>
    <w:p w:rsidR="00C762A8" w:rsidRPr="00C762A8" w:rsidRDefault="00C762A8" w:rsidP="00C762A8">
      <w:pPr>
        <w:ind w:firstLine="360"/>
        <w:jc w:val="center"/>
        <w:rPr>
          <w:color w:val="000000"/>
          <w:sz w:val="28"/>
          <w:szCs w:val="28"/>
        </w:rPr>
      </w:pPr>
      <w:r w:rsidRPr="00C762A8">
        <w:rPr>
          <w:sz w:val="28"/>
          <w:szCs w:val="28"/>
        </w:rPr>
        <w:t xml:space="preserve"> </w:t>
      </w:r>
      <w:proofErr w:type="gramStart"/>
      <w:r w:rsidRPr="00C762A8">
        <w:rPr>
          <w:sz w:val="28"/>
          <w:szCs w:val="28"/>
        </w:rPr>
        <w:t>муниципальной</w:t>
      </w:r>
      <w:proofErr w:type="gramEnd"/>
      <w:r w:rsidRPr="00C762A8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C762A8">
          <w:rPr>
            <w:sz w:val="28"/>
            <w:szCs w:val="28"/>
          </w:rPr>
          <w:t>ы</w:t>
        </w:r>
      </w:hyperlink>
      <w:r w:rsidRPr="00C762A8">
        <w:rPr>
          <w:sz w:val="28"/>
          <w:szCs w:val="28"/>
        </w:rPr>
        <w:t xml:space="preserve"> «Доступная среда</w:t>
      </w:r>
      <w:r w:rsidRPr="00C762A8">
        <w:rPr>
          <w:color w:val="000000"/>
          <w:sz w:val="28"/>
          <w:szCs w:val="28"/>
        </w:rPr>
        <w:t>» на 2022–2024 годы</w:t>
      </w:r>
    </w:p>
    <w:p w:rsidR="00C762A8" w:rsidRPr="00C762A8" w:rsidRDefault="00C762A8" w:rsidP="00C762A8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C762A8" w:rsidRPr="00C762A8" w:rsidTr="00AF765B">
        <w:trPr>
          <w:trHeight w:val="207"/>
          <w:tblHeader/>
        </w:trPr>
        <w:tc>
          <w:tcPr>
            <w:tcW w:w="3085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C762A8" w:rsidRPr="00C762A8" w:rsidTr="00AF765B">
        <w:trPr>
          <w:tblHeader/>
        </w:trPr>
        <w:tc>
          <w:tcPr>
            <w:tcW w:w="3085" w:type="dxa"/>
            <w:vMerge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C762A8" w:rsidRPr="00C762A8" w:rsidTr="00AF765B">
        <w:trPr>
          <w:trHeight w:val="827"/>
          <w:tblHeader/>
        </w:trPr>
        <w:tc>
          <w:tcPr>
            <w:tcW w:w="3085" w:type="dxa"/>
            <w:vMerge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Федеральный</w:t>
            </w: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бюджет</w:t>
            </w: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Краевой</w:t>
            </w: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Местный бюджет</w:t>
            </w:r>
          </w:p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</w:p>
        </w:tc>
      </w:tr>
      <w:tr w:rsidR="00C762A8" w:rsidRPr="00C762A8" w:rsidTr="00AF765B">
        <w:tc>
          <w:tcPr>
            <w:tcW w:w="308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4620,7</w:t>
            </w:r>
          </w:p>
        </w:tc>
        <w:tc>
          <w:tcPr>
            <w:tcW w:w="198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4620,7</w:t>
            </w:r>
          </w:p>
        </w:tc>
      </w:tr>
      <w:tr w:rsidR="00C762A8" w:rsidRPr="00C762A8" w:rsidTr="00AF765B">
        <w:tc>
          <w:tcPr>
            <w:tcW w:w="308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1301,0</w:t>
            </w:r>
          </w:p>
        </w:tc>
        <w:tc>
          <w:tcPr>
            <w:tcW w:w="198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1301,0</w:t>
            </w:r>
          </w:p>
        </w:tc>
      </w:tr>
      <w:tr w:rsidR="00C762A8" w:rsidRPr="00C762A8" w:rsidTr="00AF765B">
        <w:tc>
          <w:tcPr>
            <w:tcW w:w="308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571,0</w:t>
            </w:r>
          </w:p>
        </w:tc>
        <w:tc>
          <w:tcPr>
            <w:tcW w:w="198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571,0</w:t>
            </w:r>
          </w:p>
        </w:tc>
      </w:tr>
      <w:tr w:rsidR="00C762A8" w:rsidRPr="00C762A8" w:rsidTr="00AF765B">
        <w:tc>
          <w:tcPr>
            <w:tcW w:w="3085" w:type="dxa"/>
          </w:tcPr>
          <w:p w:rsidR="00C762A8" w:rsidRPr="00C762A8" w:rsidRDefault="00C762A8" w:rsidP="00AF765B">
            <w:pPr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6492,7</w:t>
            </w:r>
          </w:p>
        </w:tc>
        <w:tc>
          <w:tcPr>
            <w:tcW w:w="198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C762A8" w:rsidRPr="00C762A8" w:rsidRDefault="00C762A8" w:rsidP="00AF765B">
            <w:pPr>
              <w:jc w:val="center"/>
              <w:rPr>
                <w:sz w:val="28"/>
                <w:szCs w:val="28"/>
              </w:rPr>
            </w:pPr>
            <w:r w:rsidRPr="00C762A8">
              <w:rPr>
                <w:sz w:val="28"/>
                <w:szCs w:val="28"/>
              </w:rPr>
              <w:t>6492,7</w:t>
            </w:r>
          </w:p>
        </w:tc>
      </w:tr>
    </w:tbl>
    <w:p w:rsidR="00C762A8" w:rsidRPr="00C762A8" w:rsidRDefault="00C762A8" w:rsidP="00C762A8">
      <w:pPr>
        <w:rPr>
          <w:sz w:val="28"/>
          <w:szCs w:val="28"/>
        </w:rPr>
      </w:pPr>
    </w:p>
    <w:p w:rsidR="00C762A8" w:rsidRPr="00C762A8" w:rsidRDefault="00C762A8" w:rsidP="00C762A8">
      <w:pPr>
        <w:jc w:val="both"/>
        <w:rPr>
          <w:sz w:val="28"/>
          <w:szCs w:val="28"/>
        </w:rPr>
      </w:pPr>
    </w:p>
    <w:p w:rsidR="00C762A8" w:rsidRPr="00C762A8" w:rsidRDefault="00C762A8" w:rsidP="00C762A8">
      <w:pPr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Заместитель главы </w:t>
      </w:r>
      <w:proofErr w:type="gramStart"/>
      <w:r w:rsidRPr="00C762A8">
        <w:rPr>
          <w:sz w:val="28"/>
          <w:szCs w:val="28"/>
        </w:rPr>
        <w:t>муниципального</w:t>
      </w:r>
      <w:proofErr w:type="gramEnd"/>
      <w:r w:rsidRPr="00C762A8">
        <w:rPr>
          <w:sz w:val="28"/>
          <w:szCs w:val="28"/>
        </w:rPr>
        <w:t xml:space="preserve"> </w:t>
      </w:r>
    </w:p>
    <w:p w:rsidR="00C762A8" w:rsidRPr="00C762A8" w:rsidRDefault="00C762A8" w:rsidP="00C762A8">
      <w:pPr>
        <w:jc w:val="both"/>
        <w:rPr>
          <w:sz w:val="28"/>
          <w:szCs w:val="28"/>
        </w:rPr>
      </w:pPr>
      <w:r w:rsidRPr="00C762A8">
        <w:rPr>
          <w:sz w:val="28"/>
          <w:szCs w:val="28"/>
        </w:rPr>
        <w:t xml:space="preserve">образования город Новороссийск                                                    Н.В. </w:t>
      </w:r>
      <w:proofErr w:type="spellStart"/>
      <w:r w:rsidRPr="00C762A8">
        <w:rPr>
          <w:sz w:val="28"/>
          <w:szCs w:val="28"/>
        </w:rPr>
        <w:t>Майорова</w:t>
      </w:r>
      <w:proofErr w:type="spellEnd"/>
    </w:p>
    <w:p w:rsidR="00C762A8" w:rsidRPr="00C762A8" w:rsidRDefault="00C762A8" w:rsidP="00C762A8">
      <w:pPr>
        <w:jc w:val="both"/>
        <w:rPr>
          <w:sz w:val="28"/>
          <w:szCs w:val="28"/>
        </w:rPr>
      </w:pPr>
    </w:p>
    <w:p w:rsidR="00C762A8" w:rsidRPr="00C762A8" w:rsidRDefault="00C762A8" w:rsidP="00C762A8"/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Pr="00C762A8" w:rsidRDefault="00C762A8">
      <w:pPr>
        <w:rPr>
          <w:sz w:val="16"/>
          <w:szCs w:val="16"/>
        </w:rPr>
      </w:pPr>
    </w:p>
    <w:p w:rsidR="00C762A8" w:rsidRDefault="00C762A8">
      <w:pPr>
        <w:rPr>
          <w:sz w:val="16"/>
          <w:szCs w:val="16"/>
        </w:rPr>
      </w:pPr>
    </w:p>
    <w:p w:rsidR="00C762A8" w:rsidRDefault="00C762A8">
      <w:pPr>
        <w:rPr>
          <w:sz w:val="16"/>
          <w:szCs w:val="16"/>
        </w:rPr>
      </w:pPr>
    </w:p>
    <w:sectPr w:rsidR="00C762A8" w:rsidSect="00CF3459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4B" w:rsidRDefault="00EB354B" w:rsidP="00883DDF">
      <w:r>
        <w:separator/>
      </w:r>
    </w:p>
  </w:endnote>
  <w:endnote w:type="continuationSeparator" w:id="0">
    <w:p w:rsidR="00EB354B" w:rsidRDefault="00EB354B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4B" w:rsidRDefault="00EB354B" w:rsidP="00883DDF">
      <w:r>
        <w:separator/>
      </w:r>
    </w:p>
  </w:footnote>
  <w:footnote w:type="continuationSeparator" w:id="0">
    <w:p w:rsidR="00EB354B" w:rsidRDefault="00EB354B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B80864"/>
    <w:multiLevelType w:val="hybridMultilevel"/>
    <w:tmpl w:val="5696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256A7"/>
    <w:rsid w:val="00135710"/>
    <w:rsid w:val="001408B5"/>
    <w:rsid w:val="00153505"/>
    <w:rsid w:val="00175518"/>
    <w:rsid w:val="001872F1"/>
    <w:rsid w:val="0019189E"/>
    <w:rsid w:val="00194A06"/>
    <w:rsid w:val="001965BC"/>
    <w:rsid w:val="001A3BEE"/>
    <w:rsid w:val="001C6439"/>
    <w:rsid w:val="001C6C01"/>
    <w:rsid w:val="001C7A48"/>
    <w:rsid w:val="001E048D"/>
    <w:rsid w:val="001E3D5A"/>
    <w:rsid w:val="001E7649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C27D5"/>
    <w:rsid w:val="003D326E"/>
    <w:rsid w:val="003D3F48"/>
    <w:rsid w:val="003E7DF6"/>
    <w:rsid w:val="00402B38"/>
    <w:rsid w:val="00484B2F"/>
    <w:rsid w:val="004A6E8D"/>
    <w:rsid w:val="004C6DD1"/>
    <w:rsid w:val="004C7868"/>
    <w:rsid w:val="004D6516"/>
    <w:rsid w:val="005051ED"/>
    <w:rsid w:val="00506062"/>
    <w:rsid w:val="00511E27"/>
    <w:rsid w:val="0051508E"/>
    <w:rsid w:val="00520C04"/>
    <w:rsid w:val="005378A6"/>
    <w:rsid w:val="005401E8"/>
    <w:rsid w:val="005515DA"/>
    <w:rsid w:val="00552206"/>
    <w:rsid w:val="00555EA3"/>
    <w:rsid w:val="0057651D"/>
    <w:rsid w:val="00591F96"/>
    <w:rsid w:val="005A72D5"/>
    <w:rsid w:val="005B5FA4"/>
    <w:rsid w:val="005D00A7"/>
    <w:rsid w:val="005D56FB"/>
    <w:rsid w:val="006010DC"/>
    <w:rsid w:val="0061613E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F2085"/>
    <w:rsid w:val="006F73CC"/>
    <w:rsid w:val="00712637"/>
    <w:rsid w:val="00734A4E"/>
    <w:rsid w:val="00735411"/>
    <w:rsid w:val="007409A4"/>
    <w:rsid w:val="00741618"/>
    <w:rsid w:val="00743345"/>
    <w:rsid w:val="0074419A"/>
    <w:rsid w:val="0074653F"/>
    <w:rsid w:val="00756E1D"/>
    <w:rsid w:val="0077474A"/>
    <w:rsid w:val="00794822"/>
    <w:rsid w:val="007A1390"/>
    <w:rsid w:val="007B32EF"/>
    <w:rsid w:val="00804592"/>
    <w:rsid w:val="008216C2"/>
    <w:rsid w:val="00821EA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C7946"/>
    <w:rsid w:val="008D6B1F"/>
    <w:rsid w:val="008D796E"/>
    <w:rsid w:val="008E11B1"/>
    <w:rsid w:val="008F692B"/>
    <w:rsid w:val="00905051"/>
    <w:rsid w:val="00913E85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492F"/>
    <w:rsid w:val="00B422CE"/>
    <w:rsid w:val="00B77ED2"/>
    <w:rsid w:val="00B82F51"/>
    <w:rsid w:val="00B97089"/>
    <w:rsid w:val="00BA7229"/>
    <w:rsid w:val="00BB33D0"/>
    <w:rsid w:val="00BC06A8"/>
    <w:rsid w:val="00BC5FC4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762A8"/>
    <w:rsid w:val="00C872A6"/>
    <w:rsid w:val="00C9233B"/>
    <w:rsid w:val="00CE0AC9"/>
    <w:rsid w:val="00CE5D31"/>
    <w:rsid w:val="00CF3459"/>
    <w:rsid w:val="00D165C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D0B5A"/>
    <w:rsid w:val="00DE7FC8"/>
    <w:rsid w:val="00DF72AF"/>
    <w:rsid w:val="00E168EE"/>
    <w:rsid w:val="00E43C4D"/>
    <w:rsid w:val="00E51120"/>
    <w:rsid w:val="00E62948"/>
    <w:rsid w:val="00E70276"/>
    <w:rsid w:val="00E713A7"/>
    <w:rsid w:val="00E72AC4"/>
    <w:rsid w:val="00E91AA1"/>
    <w:rsid w:val="00EA0075"/>
    <w:rsid w:val="00EA2B35"/>
    <w:rsid w:val="00EB354B"/>
    <w:rsid w:val="00EB62AC"/>
    <w:rsid w:val="00EC48DE"/>
    <w:rsid w:val="00EC5D37"/>
    <w:rsid w:val="00ED1E5E"/>
    <w:rsid w:val="00EE4704"/>
    <w:rsid w:val="00EE7646"/>
    <w:rsid w:val="00EF4C31"/>
    <w:rsid w:val="00F2412E"/>
    <w:rsid w:val="00F25568"/>
    <w:rsid w:val="00F36E7F"/>
    <w:rsid w:val="00F41AA4"/>
    <w:rsid w:val="00F54E61"/>
    <w:rsid w:val="00F62BCC"/>
    <w:rsid w:val="00F67372"/>
    <w:rsid w:val="00F93E13"/>
    <w:rsid w:val="00F963EA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C762A8"/>
    <w:pPr>
      <w:spacing w:after="0" w:line="240" w:lineRule="auto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762A8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762A8"/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762A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63852&amp;date=16.10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77&amp;n=179931&amp;date=16.10.2020" TargetMode="External"/><Relationship Id="rId12" Type="http://schemas.openxmlformats.org/officeDocument/2006/relationships/hyperlink" Target="https://login.consultant.ru/link/?req=doc&amp;base=RZB&amp;n=351490&amp;date=16.10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BR177&amp;n=194764&amp;date=16.10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315253&amp;date=16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42577&amp;date=16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5</cp:revision>
  <cp:lastPrinted>2021-07-15T08:32:00Z</cp:lastPrinted>
  <dcterms:created xsi:type="dcterms:W3CDTF">2021-07-15T08:21:00Z</dcterms:created>
  <dcterms:modified xsi:type="dcterms:W3CDTF">2021-08-06T06:46:00Z</dcterms:modified>
</cp:coreProperties>
</file>