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64" w:rsidRDefault="00780064" w:rsidP="00780064">
      <w:pPr>
        <w:pStyle w:val="Style5"/>
        <w:widowControl/>
        <w:spacing w:before="77" w:line="403" w:lineRule="exact"/>
        <w:ind w:left="941"/>
        <w:rPr>
          <w:rStyle w:val="FontStyle36"/>
        </w:rPr>
      </w:pPr>
      <w:r>
        <w:rPr>
          <w:rStyle w:val="FontStyle35"/>
        </w:rPr>
        <w:t xml:space="preserve">ВСЕРОССИЙСКИЙ ПРАКТИЧЕСКИЙ СЕМИНАР </w:t>
      </w:r>
      <w:r>
        <w:rPr>
          <w:rStyle w:val="FontStyle36"/>
        </w:rPr>
        <w:t>«ОРГАНИЗАЦИЯ ПРОЕКТНОЙ ДЕЯТЕЛЬНОСТИ В СФЕРЕ МУНИЦИПАЛЬНОГО УПРАВЛЕНИЯ»</w:t>
      </w:r>
    </w:p>
    <w:p w:rsidR="00780064" w:rsidRDefault="00780064" w:rsidP="00780064">
      <w:pPr>
        <w:pStyle w:val="Style16"/>
        <w:widowControl/>
        <w:ind w:left="850"/>
        <w:rPr>
          <w:rStyle w:val="FontStyle37"/>
        </w:rPr>
      </w:pPr>
      <w:r>
        <w:rPr>
          <w:rStyle w:val="FontStyle37"/>
        </w:rPr>
        <w:t>24-25 августа 2017 года, Москва, Аналитический центр при Правительстве РФ</w:t>
      </w:r>
    </w:p>
    <w:p w:rsidR="00780064" w:rsidRDefault="00780064" w:rsidP="00780064">
      <w:pPr>
        <w:pStyle w:val="Style17"/>
        <w:widowControl/>
        <w:spacing w:line="235" w:lineRule="exact"/>
        <w:rPr>
          <w:rStyle w:val="FontStyle48"/>
        </w:rPr>
      </w:pPr>
      <w:r>
        <w:rPr>
          <w:rStyle w:val="FontStyle48"/>
        </w:rPr>
        <w:t xml:space="preserve">В ПРОГРАММЕ СЕМИНАРА: </w:t>
      </w:r>
    </w:p>
    <w:p w:rsidR="00780064" w:rsidRDefault="00780064" w:rsidP="00780064">
      <w:pPr>
        <w:pStyle w:val="Style17"/>
        <w:widowControl/>
        <w:spacing w:line="235" w:lineRule="exact"/>
        <w:rPr>
          <w:rStyle w:val="FontStyle48"/>
        </w:rPr>
      </w:pPr>
    </w:p>
    <w:p w:rsidR="00780064" w:rsidRDefault="00780064" w:rsidP="00780064">
      <w:pPr>
        <w:pStyle w:val="Style17"/>
        <w:widowControl/>
        <w:numPr>
          <w:ilvl w:val="0"/>
          <w:numId w:val="1"/>
        </w:numPr>
        <w:spacing w:line="235" w:lineRule="exact"/>
        <w:ind w:left="0" w:hanging="11"/>
        <w:jc w:val="both"/>
        <w:rPr>
          <w:rStyle w:val="FontStyle34"/>
        </w:rPr>
      </w:pPr>
      <w:r>
        <w:rPr>
          <w:rStyle w:val="FontStyle48"/>
        </w:rPr>
        <w:t xml:space="preserve">Нормативные основы управления проектами на федеральном уровне </w:t>
      </w:r>
      <w:r>
        <w:rPr>
          <w:rStyle w:val="FontStyle34"/>
        </w:rPr>
        <w:t xml:space="preserve">(Указ Президента России № 306 от 30.06.2016, Постановление Правительства РФ № 1050 от 15.10.2016). План первоочередных мероприятий по организации проектной деятельности (Распоряжение Правительства РФ № 2165-р от 15.10.2016). Целевой ориентир системы проектного управления. Типология управления проектами в административных структурах. </w:t>
      </w:r>
    </w:p>
    <w:p w:rsidR="00780064" w:rsidRDefault="00780064" w:rsidP="00780064">
      <w:pPr>
        <w:pStyle w:val="Style17"/>
        <w:widowControl/>
        <w:numPr>
          <w:ilvl w:val="0"/>
          <w:numId w:val="1"/>
        </w:numPr>
        <w:spacing w:line="235" w:lineRule="exact"/>
        <w:ind w:left="0" w:hanging="11"/>
        <w:rPr>
          <w:rStyle w:val="FontStyle34"/>
        </w:rPr>
      </w:pPr>
      <w:r>
        <w:rPr>
          <w:rStyle w:val="FontStyle48"/>
        </w:rPr>
        <w:t xml:space="preserve">Применение   проектного   менеджмента   в   сфере  муниципального  управления;  </w:t>
      </w:r>
      <w:r>
        <w:rPr>
          <w:rStyle w:val="FontStyle34"/>
        </w:rPr>
        <w:t>связь  с  другими инструментами управления.  Государственные (муниципальные) программы.  Инвестиционные  проекты. Механизмы взаимодействия в проектной деятельности федеральных и региональных органов власти и органов МСУ. Рекомендации по организации проектной деятельности в субъектах РФ и органах МСУ.</w:t>
      </w:r>
    </w:p>
    <w:p w:rsidR="00780064" w:rsidRDefault="00780064" w:rsidP="00780064">
      <w:pPr>
        <w:pStyle w:val="Style17"/>
        <w:widowControl/>
        <w:numPr>
          <w:ilvl w:val="0"/>
          <w:numId w:val="1"/>
        </w:numPr>
        <w:spacing w:line="235" w:lineRule="exact"/>
        <w:ind w:left="0" w:hanging="11"/>
        <w:rPr>
          <w:rStyle w:val="FontStyle34"/>
        </w:rPr>
      </w:pPr>
      <w:r>
        <w:rPr>
          <w:rStyle w:val="FontStyle34"/>
        </w:rPr>
        <w:t xml:space="preserve"> </w:t>
      </w:r>
      <w:r>
        <w:rPr>
          <w:rStyle w:val="FontStyle48"/>
        </w:rPr>
        <w:t xml:space="preserve">Запуск, реализация и документирование проектной деятельности </w:t>
      </w:r>
      <w:r>
        <w:rPr>
          <w:rStyle w:val="FontStyle34"/>
        </w:rPr>
        <w:t xml:space="preserve">в государственном и муниципальном управлении. Основные этапы проектного процесса. Подготовка инициативной заявки. Разработка паспорта проекта. План управления проектом. Формирование команды проекта. Контрольные события в ходе реализации. Внедрение проекта. Формы участия региона в реализации муниципального проекта. </w:t>
      </w:r>
    </w:p>
    <w:p w:rsidR="00780064" w:rsidRDefault="00780064" w:rsidP="00780064">
      <w:pPr>
        <w:pStyle w:val="Style17"/>
        <w:widowControl/>
        <w:numPr>
          <w:ilvl w:val="0"/>
          <w:numId w:val="1"/>
        </w:numPr>
        <w:spacing w:line="235" w:lineRule="exact"/>
        <w:ind w:left="0" w:hanging="11"/>
        <w:rPr>
          <w:rStyle w:val="FontStyle34"/>
        </w:rPr>
      </w:pPr>
      <w:r>
        <w:rPr>
          <w:rStyle w:val="FontStyle48"/>
        </w:rPr>
        <w:t xml:space="preserve">Формирование органа проектного управления в  структуре администрации. </w:t>
      </w:r>
      <w:r>
        <w:rPr>
          <w:rStyle w:val="FontStyle34"/>
        </w:rPr>
        <w:t xml:space="preserve">Варианты  встраивания проектного менеджмента в структуру органов управления. Распределение функций: инициатор, заказчик, координатор,  куратор,  администратор,  исполнитель.  Регламент работы  проектного  офиса:  структура, участники, ответственность, приемка, результатов. Технологии формирования и функционирования проектной команды. Оплата труда участников. Профессиональное развитие муниципальных служащих. </w:t>
      </w:r>
    </w:p>
    <w:p w:rsidR="00780064" w:rsidRDefault="00780064" w:rsidP="00780064">
      <w:pPr>
        <w:pStyle w:val="Style17"/>
        <w:widowControl/>
        <w:numPr>
          <w:ilvl w:val="0"/>
          <w:numId w:val="1"/>
        </w:numPr>
        <w:spacing w:line="235" w:lineRule="exact"/>
        <w:ind w:left="0" w:hanging="11"/>
        <w:rPr>
          <w:rStyle w:val="FontStyle34"/>
        </w:rPr>
      </w:pPr>
      <w:r>
        <w:rPr>
          <w:rStyle w:val="FontStyle48"/>
        </w:rPr>
        <w:t xml:space="preserve">Система  организации  работы  с  муниципальными  финансами:   </w:t>
      </w:r>
      <w:r>
        <w:rPr>
          <w:rStyle w:val="FontStyle34"/>
        </w:rPr>
        <w:t xml:space="preserve">управленческие  структуры  и  их взаимодействие, участники бюджетного процесса и их полномочия. Формирование местного бюджета на основании долгосрочного прогноза основных параметров бюджетной системы. Виды программ и программный бюджет. Бюджетирование, </w:t>
      </w:r>
      <w:proofErr w:type="gramStart"/>
      <w:r>
        <w:rPr>
          <w:rStyle w:val="FontStyle34"/>
        </w:rPr>
        <w:t>ориентированное</w:t>
      </w:r>
      <w:proofErr w:type="gramEnd"/>
      <w:r>
        <w:rPr>
          <w:rStyle w:val="FontStyle34"/>
        </w:rPr>
        <w:t xml:space="preserve"> на результат, рационализация расходов, связь расходов с оказанием публичных услуг. Контроль результатов и мониторинг финансово-хозяйственной деятельности.</w:t>
      </w:r>
    </w:p>
    <w:p w:rsidR="00780064" w:rsidRDefault="00780064" w:rsidP="00780064">
      <w:pPr>
        <w:pStyle w:val="Style17"/>
        <w:widowControl/>
        <w:numPr>
          <w:ilvl w:val="0"/>
          <w:numId w:val="1"/>
        </w:numPr>
        <w:spacing w:line="235" w:lineRule="exact"/>
        <w:ind w:left="0" w:hanging="11"/>
        <w:rPr>
          <w:rStyle w:val="FontStyle34"/>
        </w:rPr>
      </w:pPr>
      <w:r>
        <w:rPr>
          <w:rStyle w:val="FontStyle34"/>
        </w:rPr>
        <w:t xml:space="preserve"> </w:t>
      </w:r>
      <w:r>
        <w:rPr>
          <w:rStyle w:val="FontStyle48"/>
        </w:rPr>
        <w:t xml:space="preserve">Бюджетирование, </w:t>
      </w:r>
      <w:proofErr w:type="gramStart"/>
      <w:r>
        <w:rPr>
          <w:rStyle w:val="FontStyle48"/>
        </w:rPr>
        <w:t>ориентированное</w:t>
      </w:r>
      <w:proofErr w:type="gramEnd"/>
      <w:r>
        <w:rPr>
          <w:rStyle w:val="FontStyle48"/>
        </w:rPr>
        <w:t xml:space="preserve"> на результат, и финансовый менеджмент. </w:t>
      </w:r>
      <w:r>
        <w:rPr>
          <w:rStyle w:val="FontStyle34"/>
        </w:rPr>
        <w:t xml:space="preserve">Стратегия развития региона, города,  района.  Программы  социально-экономического  развития.  Доклад  </w:t>
      </w:r>
      <w:r>
        <w:rPr>
          <w:rStyle w:val="FontStyle48"/>
        </w:rPr>
        <w:t xml:space="preserve">о  </w:t>
      </w:r>
      <w:r>
        <w:rPr>
          <w:rStyle w:val="FontStyle34"/>
        </w:rPr>
        <w:t>результатах  и  основных направлениях деятельности  главных  распорядителей  бюджетных  средств.  Ведомственные  программы. Показатели финансового менеджмента. Примеры использования технологии БОР и проектного менеджмента.</w:t>
      </w:r>
    </w:p>
    <w:p w:rsidR="00780064" w:rsidRPr="00780064" w:rsidRDefault="00780064" w:rsidP="00780064">
      <w:pPr>
        <w:pStyle w:val="Style17"/>
        <w:widowControl/>
        <w:numPr>
          <w:ilvl w:val="0"/>
          <w:numId w:val="1"/>
        </w:numPr>
        <w:spacing w:line="235" w:lineRule="exact"/>
        <w:ind w:left="0" w:hanging="11"/>
        <w:rPr>
          <w:rStyle w:val="FontStyle48"/>
          <w:b w:val="0"/>
          <w:bCs w:val="0"/>
        </w:rPr>
      </w:pPr>
      <w:r>
        <w:rPr>
          <w:rStyle w:val="FontStyle34"/>
        </w:rPr>
        <w:t xml:space="preserve"> </w:t>
      </w:r>
      <w:r>
        <w:rPr>
          <w:rStyle w:val="FontStyle48"/>
        </w:rPr>
        <w:t xml:space="preserve">Муниципальные (государственные) услуги. </w:t>
      </w:r>
      <w:r>
        <w:rPr>
          <w:rStyle w:val="FontStyle34"/>
        </w:rPr>
        <w:t>Муниципальные услуги и работы как единицы деятельности органов местного самоуправления и учреждений. Реестр муниципальных (государственных) услуг. Стандарты качества муниципальных (государственных) услуг. Оценка стоимости муниципальных (государственных) услуг. Оценка потребности в муниципальных (государственных) услугах.</w:t>
      </w:r>
    </w:p>
    <w:p w:rsidR="00780064" w:rsidRDefault="00780064" w:rsidP="00780064">
      <w:pPr>
        <w:pStyle w:val="Style11"/>
        <w:widowControl/>
        <w:numPr>
          <w:ilvl w:val="0"/>
          <w:numId w:val="1"/>
        </w:numPr>
        <w:spacing w:line="226" w:lineRule="exact"/>
        <w:ind w:left="0" w:hanging="11"/>
        <w:rPr>
          <w:rStyle w:val="FontStyle34"/>
        </w:rPr>
      </w:pPr>
      <w:r>
        <w:rPr>
          <w:rStyle w:val="FontStyle48"/>
        </w:rPr>
        <w:t xml:space="preserve">Стратегические проекты Правительства РФ: </w:t>
      </w:r>
      <w:r>
        <w:rPr>
          <w:rStyle w:val="FontStyle34"/>
        </w:rPr>
        <w:t>показатели и финансовое обеспечение реализации проектов. Мониторинг и оценка реализации инвестиционных проектов с участием бюджетных средств. Аудит государственных и международных проектов. Взаимосвязь показателей мониторинга реализации проектов и оценки эффективности деятельности в сфере государственного и муниципального управления.</w:t>
      </w:r>
    </w:p>
    <w:p w:rsidR="00780064" w:rsidRPr="00780064" w:rsidRDefault="00780064" w:rsidP="00780064">
      <w:pPr>
        <w:pStyle w:val="Style11"/>
        <w:widowControl/>
        <w:numPr>
          <w:ilvl w:val="0"/>
          <w:numId w:val="1"/>
        </w:numPr>
        <w:spacing w:line="226" w:lineRule="exact"/>
        <w:ind w:left="0" w:hanging="11"/>
        <w:rPr>
          <w:rStyle w:val="FontStyle48"/>
          <w:b w:val="0"/>
          <w:bCs w:val="0"/>
        </w:rPr>
      </w:pPr>
      <w:r>
        <w:rPr>
          <w:rStyle w:val="FontStyle34"/>
        </w:rPr>
        <w:t xml:space="preserve"> </w:t>
      </w:r>
      <w:r>
        <w:rPr>
          <w:rStyle w:val="FontStyle48"/>
        </w:rPr>
        <w:t xml:space="preserve">Развитие проектов </w:t>
      </w:r>
      <w:proofErr w:type="spellStart"/>
      <w:r>
        <w:rPr>
          <w:rStyle w:val="FontStyle48"/>
        </w:rPr>
        <w:t>муниципально</w:t>
      </w:r>
      <w:proofErr w:type="spellEnd"/>
      <w:r>
        <w:rPr>
          <w:rStyle w:val="FontStyle48"/>
        </w:rPr>
        <w:t xml:space="preserve">-частного партнерства. </w:t>
      </w:r>
      <w:r>
        <w:rPr>
          <w:rStyle w:val="FontStyle34"/>
        </w:rPr>
        <w:t xml:space="preserve">Порядок реализации соглашений о МЧП. Опыт муниципалитетов и допускаемые ошибки по привлечению внебюджетных средств. Конкурсные процедуры по отбору частных инвесторов. Договорные и финансовые обязательства </w:t>
      </w:r>
      <w:proofErr w:type="spellStart"/>
      <w:r>
        <w:rPr>
          <w:rStyle w:val="FontStyle34"/>
        </w:rPr>
        <w:t>концед</w:t>
      </w:r>
      <w:bookmarkStart w:id="0" w:name="_GoBack"/>
      <w:bookmarkEnd w:id="0"/>
      <w:r>
        <w:rPr>
          <w:rStyle w:val="FontStyle34"/>
        </w:rPr>
        <w:t>ента</w:t>
      </w:r>
      <w:proofErr w:type="spellEnd"/>
      <w:r>
        <w:rPr>
          <w:rStyle w:val="FontStyle34"/>
        </w:rPr>
        <w:t xml:space="preserve"> и концессионера. Финансовая модель соглашения. Минимизация рисков при заключении соглашений.</w:t>
      </w:r>
    </w:p>
    <w:p w:rsidR="00780064" w:rsidRPr="00780064" w:rsidRDefault="00780064" w:rsidP="00780064">
      <w:pPr>
        <w:pStyle w:val="Style11"/>
        <w:widowControl/>
        <w:numPr>
          <w:ilvl w:val="0"/>
          <w:numId w:val="1"/>
        </w:numPr>
        <w:spacing w:line="230" w:lineRule="exact"/>
        <w:ind w:left="0" w:hanging="11"/>
        <w:rPr>
          <w:rStyle w:val="FontStyle48"/>
          <w:b w:val="0"/>
          <w:bCs w:val="0"/>
        </w:rPr>
      </w:pPr>
      <w:r>
        <w:rPr>
          <w:rStyle w:val="FontStyle48"/>
        </w:rPr>
        <w:t xml:space="preserve">Практика применения проектного менеджмента на примере города Москвы. </w:t>
      </w:r>
      <w:r>
        <w:rPr>
          <w:rStyle w:val="FontStyle34"/>
        </w:rPr>
        <w:t xml:space="preserve">Организация и правовое обеспечение применения проектного менеджмента. Портфель проектов. Финансовое обеспечение реализации проектов. Мониторинг и оценка реализации проектов. Информационное сопровождение реализации проектов. </w:t>
      </w:r>
    </w:p>
    <w:p w:rsidR="00780064" w:rsidRDefault="00780064" w:rsidP="00780064">
      <w:pPr>
        <w:pStyle w:val="Style11"/>
        <w:widowControl/>
        <w:numPr>
          <w:ilvl w:val="0"/>
          <w:numId w:val="1"/>
        </w:numPr>
        <w:spacing w:line="230" w:lineRule="exact"/>
        <w:ind w:left="0" w:hanging="11"/>
        <w:rPr>
          <w:rStyle w:val="FontStyle34"/>
        </w:rPr>
      </w:pPr>
      <w:r>
        <w:rPr>
          <w:rStyle w:val="FontStyle48"/>
        </w:rPr>
        <w:t xml:space="preserve">Государственный и муниципальный финансовый контроль. </w:t>
      </w:r>
      <w:r>
        <w:rPr>
          <w:rStyle w:val="FontStyle34"/>
        </w:rPr>
        <w:t>Распределение полномочий органов государственного финансового контроля. Контроль за нецелевым, незаконным и неэффективным использованием бюджетных средств. Основные виды нарушений, выявляемые контрольными органами. Стандарты внутреннего государственного (муниципального) финансового контроля.</w:t>
      </w:r>
    </w:p>
    <w:p w:rsidR="00BF1B30" w:rsidRDefault="00BF1B30" w:rsidP="00780064"/>
    <w:sectPr w:rsidR="00BF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8C9"/>
    <w:multiLevelType w:val="hybridMultilevel"/>
    <w:tmpl w:val="D75E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64"/>
    <w:rsid w:val="00780064"/>
    <w:rsid w:val="00B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80064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800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80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80064"/>
    <w:pPr>
      <w:widowControl w:val="0"/>
      <w:autoSpaceDE w:val="0"/>
      <w:autoSpaceDN w:val="0"/>
      <w:adjustRightInd w:val="0"/>
      <w:spacing w:after="0" w:line="237" w:lineRule="exact"/>
      <w:ind w:firstLine="32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80064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780064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780064"/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FontStyle37">
    <w:name w:val="Font Style37"/>
    <w:basedOn w:val="a0"/>
    <w:uiPriority w:val="99"/>
    <w:rsid w:val="0078006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78006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78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80064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800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80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80064"/>
    <w:pPr>
      <w:widowControl w:val="0"/>
      <w:autoSpaceDE w:val="0"/>
      <w:autoSpaceDN w:val="0"/>
      <w:adjustRightInd w:val="0"/>
      <w:spacing w:after="0" w:line="237" w:lineRule="exact"/>
      <w:ind w:firstLine="32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80064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780064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780064"/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FontStyle37">
    <w:name w:val="Font Style37"/>
    <w:basedOn w:val="a0"/>
    <w:uiPriority w:val="99"/>
    <w:rsid w:val="0078006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78006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78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2017-07-10T11:46:00Z</dcterms:created>
  <dcterms:modified xsi:type="dcterms:W3CDTF">2017-07-10T11:53:00Z</dcterms:modified>
</cp:coreProperties>
</file>