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83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 xml:space="preserve">АЦИЯ МУНИЦИПАЛЬНОГО ОБРАЗОВАНИЯ </w:t>
      </w: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ГОРОД НОВОРОССИЙСК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ПОСТАНОВЛЕНИЕ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>22.08.2018 г.                                                                                                                      № 3367</w:t>
      </w:r>
    </w:p>
    <w:p w:rsidR="00664276" w:rsidRPr="002A6F85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</w:pPr>
    </w:p>
    <w:p w:rsidR="00664276" w:rsidRPr="002A6F85" w:rsidRDefault="00955083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0"/>
          <w:szCs w:val="20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0"/>
          <w:szCs w:val="20"/>
          <w:lang w:eastAsia="ru-RU"/>
        </w:rPr>
        <w:t>г. Новороссийск</w:t>
      </w:r>
    </w:p>
    <w:p w:rsidR="000D3306" w:rsidRDefault="000D330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664276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</w:p>
    <w:p w:rsidR="00761641" w:rsidRDefault="00365168" w:rsidP="00365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</w:t>
      </w:r>
      <w:r w:rsidR="002A6F85" w:rsidRPr="002A6F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оложения о </w:t>
      </w:r>
      <w:r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ежегодных премиях главы муниципального образования город Новороссийск </w:t>
      </w:r>
    </w:p>
    <w:p w:rsidR="00FE52A9" w:rsidRPr="00504ADF" w:rsidRDefault="00365168" w:rsidP="003651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3F1C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 </w:t>
      </w:r>
      <w:r w:rsidRPr="003651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благо Новороссийска»</w:t>
      </w:r>
    </w:p>
    <w:p w:rsidR="00664276" w:rsidRPr="00504ADF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64276" w:rsidRDefault="00664276" w:rsidP="0066427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2A9" w:rsidRPr="008D029A" w:rsidRDefault="002A6F85" w:rsidP="002A6F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поддержки граждан,</w:t>
      </w: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влиять на </w:t>
      </w:r>
      <w:r w:rsidR="00332233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значимости базовых человеческих ценностей, творческого, интеллектуального, социально-экономического развития города, 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и развития традиций, </w:t>
      </w:r>
      <w:r w:rsidR="00332233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 общественной активности</w:t>
      </w:r>
      <w:r w:rsidR="00FE52A9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проявления инициативы населения за реализованные проекты, </w:t>
      </w:r>
      <w:r w:rsidR="00FE52A9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 131-ФЗ «</w:t>
      </w:r>
      <w:r w:rsidR="00FE52A9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</w:t>
      </w:r>
      <w:proofErr w:type="gramEnd"/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FE52A9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34 Устава муниципального образования город Новороссийск, </w:t>
      </w:r>
      <w:proofErr w:type="gramStart"/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E52A9" w:rsidRPr="008D029A" w:rsidRDefault="00FE52A9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168" w:rsidRPr="008D029A" w:rsidRDefault="00FE52A9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ежегодных премиях главы муниципального образования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Новороссийска» </w:t>
      </w:r>
      <w:r w:rsid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FE52A9" w:rsidRPr="008D029A" w:rsidRDefault="00FE52A9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3D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присуждению 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премий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город Новороссийск «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 (приложение № 2).</w:t>
      </w:r>
    </w:p>
    <w:p w:rsidR="00054E82" w:rsidRPr="008D029A" w:rsidRDefault="00664276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E52A9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113D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 ежегодных премий главы муниципального об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="00A8709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  <w:r w:rsidR="00365168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8D029A" w:rsidRPr="008D029A" w:rsidRDefault="00054E82" w:rsidP="00054E8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A7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(</w:t>
      </w:r>
      <w:proofErr w:type="spellStart"/>
      <w:r w:rsidR="00DA7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Батёха</w:t>
      </w:r>
      <w:proofErr w:type="spellEnd"/>
      <w:r w:rsidR="00DA76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разработку </w:t>
      </w:r>
      <w:r w:rsidR="007616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макета</w:t>
      </w:r>
      <w:r w:rsidR="00DA7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 по номинациям ежегодных премий главы муниципального об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Новороссийска».</w:t>
      </w:r>
    </w:p>
    <w:p w:rsidR="00054E82" w:rsidRDefault="00054E82" w:rsidP="006321B1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культуры (Матвейчук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разработку макета,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наград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церемонии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 ежегодных премий главы муниципального о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Новороссийск «Во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культурном 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F8E" w:rsidRP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32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проведением данного мероприятия про</w:t>
      </w:r>
      <w:r w:rsidR="00B5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D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отрасль «Культура» </w:t>
      </w:r>
      <w:r w:rsidR="00B53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</w:t>
      </w:r>
      <w:r w:rsidR="00B532F8" w:rsidRPr="00B5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72C47" w:rsidRPr="008D029A" w:rsidRDefault="00054E82" w:rsidP="00054E8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(</w:t>
      </w:r>
      <w:proofErr w:type="spellStart"/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Кальченко</w:t>
      </w:r>
      <w:proofErr w:type="spellEnd"/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финансирование мероприятий по изготовлению наградной продукции и церемонии вручения 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ежегодных премий главы муниципального об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="008D029A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 в пределах средств, предусмотренных в бюджете администрации муниципального образования на текущий финансовый год.</w:t>
      </w:r>
    </w:p>
    <w:p w:rsidR="00DA6F8E" w:rsidRDefault="00DA76C8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средств массовой информации (Кулакова) опубликовать настоящее постановление в </w:t>
      </w:r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бюллетени «Вестник муниципального образования город Новороссийск» и на официальном сайте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64276" w:rsidRPr="008D029A" w:rsidRDefault="00DA76C8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4276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 Ворониной Т.В.</w:t>
      </w:r>
    </w:p>
    <w:p w:rsidR="0055269E" w:rsidRPr="008D029A" w:rsidRDefault="00DA76C8" w:rsidP="00664276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269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2F0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A6F8E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276" w:rsidRPr="006170C5" w:rsidRDefault="00664276" w:rsidP="0066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6" w:rsidRPr="006170C5" w:rsidRDefault="00664276" w:rsidP="0066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6" w:rsidRPr="006170C5" w:rsidRDefault="00664276" w:rsidP="006642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76" w:rsidRPr="006170C5" w:rsidRDefault="00664276" w:rsidP="006642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E52A9" w:rsidRPr="006170C5" w:rsidRDefault="00664276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И.А. Дяченко</w:t>
      </w: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26" w:rsidRDefault="005B5B26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ADB" w:rsidRDefault="00971ADB" w:rsidP="006642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E17" w:rsidRDefault="00597E17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F8E" w:rsidRDefault="00DA6F8E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Pr="00971ADB" w:rsidRDefault="00682FDA" w:rsidP="00682FDA">
      <w:pPr>
        <w:tabs>
          <w:tab w:val="left" w:pos="5520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от___________№_______ </w:t>
      </w: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C32BB8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ежегодных премиях главы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Новороссийск «Во</w:t>
      </w:r>
      <w:r w:rsidRPr="0033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ежегодных премий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Премия).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Положения распространяется на организации, учреждения, предприятия всех организационно-правовых форм и видов собственности, общественные организации и инициативные группы граждан.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поощрение и публичное признание граждан, которые внесли существенный вклад в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общественного авторитета базовых человеческих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поддержка деловой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активности граждан.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Ф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позитивного общественного имиджа незаурядных личностей, чья активная гражданская позиция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духовно-культурному, социально-экономическому и общественно-политическому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Присуждение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поощрением за достижения в сфере образования, культуры, науки, спорта, социальной и молодежной политики, экономики,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 здравоохранения,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связи и других сферах, а также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общественную, благотворительную и спонсорскую деятельность на территории муниципальном образовании город Новороссийск.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церемонии присуждения Премии.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организации и проведения 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Комиссия,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утверждается данным постановлением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функции: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бъявляет через средства массовой информации о начале, ходе и итогах проведения </w:t>
      </w:r>
      <w:r w:rsidRP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сроки представления документов для кандидатов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proofErr w:type="gramEnd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экспертизу;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количество и содержание номинаций;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2.2.4. 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победителей в каждой номинации; </w:t>
      </w:r>
    </w:p>
    <w:p w:rsidR="00682FDA" w:rsidRPr="005E6C6F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дипломов, наград и формат проведения церемонии награждения.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торжественную церемонию 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FDA" w:rsidRDefault="00682FDA" w:rsidP="00682FDA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2.2.7. Решение Комиссии о присуждении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ремий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виде постановления администрации муниципального образования город Новороссийск.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город Новороссийск вправе по собственной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 принимать решение 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Премий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на имя главы муниципального образования город Новороссийск и пакет документов в данном </w:t>
      </w:r>
      <w:proofErr w:type="gramStart"/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</w:t>
      </w:r>
      <w:r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тура: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ходатайств на участие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-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01 декабря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 проводится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главы муниципального образования и глав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внутригородских районов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представлений на кандидатов. Коллективы предприятий, учреждений, организаций, структурных подразделений администраций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исполнительной власти, профессиональные объединения, общественные организации, инициативные группы граждан, выдвигающие кандидата для участия, направляют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ходатайства для проведения предварительной экспертизы,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принадлежности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проведения предварительной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на кандидата с указанием заслуг за текущий год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Анкета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удостоверяющие личность кандидата;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Развернутая характеристика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кандидата;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3.2.1.5. Информация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реализованных проектах, их результатах;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3.2.1.6. Д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материалы (фотоматериалы, видеоматериалы, публикации и </w:t>
      </w:r>
      <w:proofErr w:type="gramStart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и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 внутригородских районов муниципального образования город Новороссийск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 протоколом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После завершения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 главы муниципального образования и главы администраций внутригородских районов муниципального образования город Новороссийск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II тур следующие документы: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на участника Конкурса с указанием заслуг за текущий год </w:t>
      </w:r>
      <w:r w:rsidRP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3);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Анкета кандидата, утвержденная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района</w:t>
      </w:r>
      <w:r w:rsidRP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удостоверяющие личность кандидата;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Развернутая характеристика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участника;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С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об отсутствии судимости;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Информация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реализованных проектах, их результатах;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 материалы (фотоматериалы, видеоматериалы, видео презе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нтации или слайд-шоу о кандидате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(продолжительностью до двух минут) и другое. </w:t>
      </w:r>
      <w:proofErr w:type="gramEnd"/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указанные в </w:t>
      </w:r>
      <w:proofErr w:type="gramStart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предоставленные в срок и в полном объеме или не соответствующие утвержденным формам согласно приложениям к настоящему Положению, к рассмотрению не принимаются.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Второй тур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Комиссия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поступивших документов и материалов.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кандидат не может быть представлен в нескольких номинациях. </w:t>
      </w:r>
    </w:p>
    <w:p w:rsidR="00682FDA" w:rsidRPr="00E05F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0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номинаций, по которым присуждается Премия: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«Поступок года» - на участие в номинации выдвигаются лица, совершившие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поступок, достойные уважения и служащие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для других сограждан;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</w:t>
      </w:r>
      <w:proofErr w:type="gramStart"/>
      <w:r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способные на </w:t>
      </w:r>
      <w:r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самовыражение, развитие межнационального сотрудничества, религиозное просвещение граждан, туризм, развитие краеведения, музейного и библиотечного дела, издательство книг, сохранение объектов культурного наследия;</w:t>
      </w:r>
      <w:proofErr w:type="gramEnd"/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Pr="00CF2C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добрых дел»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номинации выдвигаются лица,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принимающие активно участие в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олонтерской деятельности, работе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людьми с ограниченными возмож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ностями, социализации, поддержке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защите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материнств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 детства, благотворительности, организации доступной среды, организации общественного контроля</w:t>
      </w:r>
      <w:r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82FDA" w:rsidRPr="000D3306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«Прорыв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развитию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науки, медицины, внедрению инноваций, разработке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в том числе с целью развития потенциала молодежи.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3.5.5.</w:t>
      </w:r>
      <w:r w:rsidRPr="00B652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«Сделано в </w:t>
      </w:r>
      <w:proofErr w:type="gramStart"/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Новороссийске</w:t>
      </w:r>
      <w:proofErr w:type="gramEnd"/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предпринимательства, промышленности, производства на территории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3.5.6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52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«Событие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искусства, спортивной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предлагающие 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популя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ризацию здорового образа жизни среди молодежи;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3.5.7.</w:t>
      </w:r>
      <w:r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города-героя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внесшие весомый вклад в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общественное, социально-экономическое, культурно-историческое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города;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3.5.8.</w:t>
      </w:r>
      <w:r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представители предпринимательского сообщества, показавшие наилучшие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3.5.9.</w:t>
      </w:r>
      <w:r w:rsidRPr="00E42B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года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предприятий, учреждений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внедрении инновационных технологий, в создании 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гинальных разработок и уникальных продуктов,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3.5.10. 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«Быстрее, выше, сильнее»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жители города, коллективы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отрасли,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популяризацию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317AB3" w:rsidRDefault="00682FDA" w:rsidP="00682F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3.5.11. «</w:t>
      </w:r>
      <w:r w:rsidRPr="00317AB3">
        <w:rPr>
          <w:rFonts w:ascii="Times New Roman" w:hAnsi="Times New Roman" w:cs="Times New Roman"/>
          <w:sz w:val="28"/>
          <w:szCs w:val="28"/>
        </w:rPr>
        <w:t>Нам доверена память» – на участие в номинации выдвигаются жители города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сохранение памяти о событиях Великой Отечественной войны,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воин и вооруженных конфликтов;</w:t>
      </w:r>
    </w:p>
    <w:p w:rsidR="00682FDA" w:rsidRPr="00317AB3" w:rsidRDefault="00682FDA" w:rsidP="00682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3.5.12. «Доброе сердце» - </w:t>
      </w:r>
      <w:r w:rsidRPr="00317AB3">
        <w:rPr>
          <w:rFonts w:ascii="Times New Roman" w:hAnsi="Times New Roman" w:cs="Times New Roman"/>
          <w:sz w:val="28"/>
          <w:szCs w:val="28"/>
        </w:rPr>
        <w:t xml:space="preserve">на участие в номинации выдвигаются жители </w:t>
      </w:r>
      <w:proofErr w:type="gramStart"/>
      <w:r w:rsidRPr="00317AB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благотворительности и волонтерской деятельности, оказание добровольной помощи социально незащищенным слоям населения и их социализацию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317AB3" w:rsidRDefault="00682FDA" w:rsidP="0068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3.5.13 «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B3">
        <w:rPr>
          <w:rFonts w:ascii="Times New Roman" w:hAnsi="Times New Roman" w:cs="Times New Roman"/>
          <w:sz w:val="28"/>
          <w:szCs w:val="28"/>
        </w:rPr>
        <w:t xml:space="preserve">- на участие в номинации выдвигаются жители города, 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домовых и придомовых территорий, парков и объектов культурного значения, обеспечение доступной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FDA" w:rsidRPr="0060758E" w:rsidRDefault="00682FDA" w:rsidP="0068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3.5.14 «</w:t>
      </w:r>
      <w:r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участие в номинации жители, осуществляемые в рамках профессиональной деятельности на добровольческой основе, в свободное от работы время услуги в сфере здравоохранения, в сфере социальной защиты населения, в сфере образования, в сфере культуры, в сфере спорта и молодежной политики, в сфере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682FDA" w:rsidRDefault="00682FDA" w:rsidP="00682FDA">
      <w:pPr>
        <w:pStyle w:val="a7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8E">
        <w:rPr>
          <w:rFonts w:ascii="Times New Roman" w:hAnsi="Times New Roman" w:cs="Times New Roman"/>
          <w:sz w:val="28"/>
          <w:szCs w:val="28"/>
        </w:rPr>
        <w:t>Бизнес – леди: успех в жизни, успех в бизнесе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7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FDA" w:rsidRPr="002F1DAD" w:rsidRDefault="00682FDA" w:rsidP="00682FDA">
      <w:pPr>
        <w:pStyle w:val="a7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DAD">
        <w:rPr>
          <w:rFonts w:ascii="Times New Roman" w:hAnsi="Times New Roman" w:cs="Times New Roman"/>
          <w:sz w:val="28"/>
          <w:szCs w:val="28"/>
        </w:rPr>
        <w:t>«Всегда в строю» - на участие в номинации выдвигаются неравнодушные пенсионеры с активной жизненной позицией.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номинаций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с учетом опыта прошлых лет, в перечень номинаций могут вноситься изменения.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каждой номинации открытым голосованием после обсуждения кандидатур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Список победителей утверждается главой муниципального образования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2FDA" w:rsidRDefault="00682FDA" w:rsidP="00682FDA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критериев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номинации: </w:t>
      </w:r>
    </w:p>
    <w:p w:rsidR="00682FDA" w:rsidRPr="008610CC" w:rsidRDefault="00682FDA" w:rsidP="00682FDA">
      <w:pPr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3.7.1.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ысокие профессиональные достижения, являющиеся существенным вкладом в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0D3306" w:rsidRDefault="00682FDA" w:rsidP="00682FDA">
      <w:pPr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Н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оваторство, внедрение новых методик, разработок,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роявление организаторских способностей и т.д.;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ысокая личная культура кандидата, его популярность, авторитет в трудовом </w:t>
      </w:r>
      <w:proofErr w:type="gramStart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</w:t>
      </w:r>
      <w:proofErr w:type="gramEnd"/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бщественная значимость кандидата, участие в общественной жизни;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3.7.7. Н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аграды, звания, почетные грамоты, премии и прочие знаки признания высоких достижений кандидата.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выдвижения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Принять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работники и руководители организаций, учреждений, предприятий различных организационно-правовых форм, исполнительных органов власти, органов местного самоуправления, члены профессиональных объединений, общественных организаций, отдельные граждане </w:t>
      </w:r>
      <w:r w:rsidRP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Выдвижение участников осуществляется организациями, учреждениями, предприятиями, органами исполнительной власти, органами местного самоуправления, профессиональными объединениями, общественными организациями, инициативными группами граждан.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присуждения Премии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принимать участие: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ысшие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Ч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Заместители главы муниципального образования и главы администраций </w:t>
      </w:r>
      <w:r w:rsidRP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Л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имеющие судимость.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 проведение цер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емонии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присуждения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церемонии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Премии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присуждения Премии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торжественной обстановке.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награды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вручаются главой муниципального образования город Новороссийск или заместителем главы муниципального образования.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Лауреатам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ипломы и награды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настоящим Положением номинациях.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Организационные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подготовке, ходе и итогах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местных средствах массовой информации 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proofErr w:type="gramEnd"/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отдел</w:t>
      </w:r>
      <w:r w:rsidRP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политики и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Новороссийск.</w:t>
      </w:r>
    </w:p>
    <w:p w:rsidR="00682FDA" w:rsidRPr="000D3306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Лица,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была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присуждена Премия, могут представлять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кандидатуры повторно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предыдущего присвоения.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Присуждение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право победителю на получение каких-либо социально-экономических льгот.</w:t>
      </w:r>
    </w:p>
    <w:p w:rsidR="00682FDA" w:rsidRPr="008610CC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Премии 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текущего 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82FDA" w:rsidRPr="00592A32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отдел по организационной работе администрации муниципального образования город Новороссийск.</w:t>
      </w:r>
    </w:p>
    <w:p w:rsidR="00682FDA" w:rsidRPr="00592A32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управление культуры,  управление внутренней политики и организационный отдел администрации муниципального образования город Новороссийск.</w:t>
      </w: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</w:t>
      </w: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Е.С. Азизов</w:t>
      </w: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ежегодных премиях главы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Новороссийск «Во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от___________№_______</w:t>
      </w:r>
    </w:p>
    <w:p w:rsidR="00682FDA" w:rsidRDefault="00682FDA" w:rsidP="00682F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CE74BC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ХОДАТАЙСТВО</w:t>
      </w:r>
    </w:p>
    <w:p w:rsidR="00682FDA" w:rsidRPr="00CE74BC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кандидата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для присуждения ежегодной премии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город Новороссийск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Новороссийска»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Pr="009F42F7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Полное наименование выдвигающей стороны: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выдвигает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(фамилия, имя, отчество претендента, занимаемая должность)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Pr="009F42F7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на участие в ежегодной церемонии присуждения премии главы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разования город Новороссийск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благо Новороссийска» в номинации: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Pr="009F42F7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Обоснование выдвижения (с указанием заслуг за предоставляемый год):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Pr="009F42F7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F42F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Приложения (перечислить):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82FDA" w:rsidRPr="00CE74BC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дата</w:t>
      </w:r>
    </w:p>
    <w:p w:rsidR="00682FDA" w:rsidRDefault="00682FDA" w:rsidP="00682FDA">
      <w:pPr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Pr="009B5169" w:rsidRDefault="00682FDA" w:rsidP="00682FDA">
      <w:pPr>
        <w:spacing w:after="0" w:line="240" w:lineRule="auto"/>
        <w:ind w:left="5400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ежегодных премиях главы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от___________№_______</w:t>
      </w:r>
    </w:p>
    <w:p w:rsidR="00682FDA" w:rsidRDefault="00682FDA" w:rsidP="00682F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Pr="000751D1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АНКЕТА</w:t>
      </w:r>
    </w:p>
    <w:p w:rsidR="00682FDA" w:rsidRPr="000751D1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кандидата 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>для присуждения ежегодной премии главы муниципального образования город Новоро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Новороссийска»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(фамилия, имя, отчество полностью)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(место работы, должность в настоящий момент)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Послужной список: 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Звания, награды, премии, научные степени: 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Дополнительные сведения, факты, достойные упоминания: 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Рабочий адрес, контактный номер телефона: 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Домашний адрес, телефон:</w:t>
      </w:r>
    </w:p>
    <w:p w:rsidR="00682FDA" w:rsidRPr="00664276" w:rsidRDefault="00682FDA" w:rsidP="00682F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82FDA" w:rsidRDefault="00682FDA" w:rsidP="00682F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</w:t>
      </w:r>
      <w:r w:rsidRPr="00CE74BC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дата</w:t>
      </w: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ежегодных премиях главы муниципального образования город Новороссийск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от___________№_______</w:t>
      </w:r>
    </w:p>
    <w:p w:rsidR="00682FDA" w:rsidRDefault="00682FDA" w:rsidP="00682F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ПРЕДСТАВЛЕНИЕ</w:t>
      </w:r>
    </w:p>
    <w:p w:rsidR="00682FDA" w:rsidRPr="000751D1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кандидата 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>для присуждения ежегодной премии главы муниципального об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разования город Новороссийск «Во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Новороссийска»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образования/глава администрации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751D1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682FDA" w:rsidRPr="000751D1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Выдвигает 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участие в </w:t>
      </w:r>
      <w:r w:rsidRPr="00F0664C">
        <w:rPr>
          <w:rFonts w:ascii="Times New Roman" w:eastAsia="Calibri" w:hAnsi="Times New Roman" w:cs="Times New Roman"/>
          <w:color w:val="000000"/>
          <w:sz w:val="28"/>
          <w:szCs w:val="28"/>
        </w:rPr>
        <w:t>ежегодной премии главы муниципального образования город Новороссийск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Во</w:t>
      </w:r>
      <w:r w:rsidRPr="009F42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 Новороссийска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</w:p>
    <w:p w:rsidR="00682FDA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0"/>
          <w:szCs w:val="20"/>
        </w:rPr>
        <w:t>(фамилия, имя, отчество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претендента)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82FDA" w:rsidRPr="000751D1" w:rsidRDefault="00682FDA" w:rsidP="00682FD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7BD2">
        <w:rPr>
          <w:rFonts w:ascii="Times New Roman" w:eastAsia="Calibri" w:hAnsi="Times New Roman" w:cs="Times New Roman"/>
          <w:color w:val="000000"/>
          <w:sz w:val="20"/>
          <w:szCs w:val="20"/>
        </w:rPr>
        <w:t>(занимаемая должность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претендента</w:t>
      </w:r>
      <w:r w:rsidRPr="00727BD2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Обоснование выдвижения (с указанием заслуг за предоставляемый год): 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DA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Представлению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(перечислить)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A" w:rsidRPr="000751D1" w:rsidRDefault="00682FDA" w:rsidP="00682FD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образования/глава администрации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района </w:t>
      </w:r>
      <w:r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указать)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</w:t>
      </w:r>
      <w:r w:rsidRPr="000751D1">
        <w:rPr>
          <w:rFonts w:ascii="Times New Roman" w:eastAsia="Calibri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дата</w:t>
      </w:r>
    </w:p>
    <w:p w:rsidR="00682FDA" w:rsidRPr="00664276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2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О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Pr="00971ADB" w:rsidRDefault="00682FDA" w:rsidP="00682FDA">
      <w:pPr>
        <w:tabs>
          <w:tab w:val="left" w:pos="5520"/>
        </w:tabs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от___________№_______ </w:t>
      </w:r>
    </w:p>
    <w:p w:rsidR="00682FDA" w:rsidRPr="00971ADB" w:rsidRDefault="00682FDA" w:rsidP="00682F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592A32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682FDA" w:rsidRPr="00592A32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присуждению ежегодных премий главы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«Во</w:t>
      </w:r>
      <w:r w:rsidRPr="009F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B06F4" w:rsidRDefault="00682FDA" w:rsidP="00682FDA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присуждению ежегодных премий главы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город Новороссийск «Во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 Новороссийска» 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Комиссия) образуется в </w:t>
      </w:r>
      <w:proofErr w:type="gramStart"/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предложений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кандидатах.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своей деятельности Комиссия руководствуется федеральным, региональным и муниципальным законодательством, настоящим Положением.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Комиссия </w:t>
      </w:r>
      <w:proofErr w:type="gramStart"/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действующим органом и осуществляет</w:t>
      </w:r>
      <w:proofErr w:type="gramEnd"/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полномочия на общественных началах.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 определяются задачи деятельности комиссии, функции, состав и порядок работы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функции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поступающих документов на соответствие требованиям, предъявляемым к их оформлению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Принятие решений по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присуждению ежегодных премий главы муниципального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город Новороссийск «Во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 Новороссийска»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Комиссия для осуществления возложенны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на нее полномочий имеет право з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апрашивать от органов местного самоуправления, организаций, общественных объединений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информационные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кандидате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порядок работы.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комиссии входят председатель,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председателя, секретарь и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присуждению ежегодных премий главы муниципального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город Новороссийск «Во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 Новороссийска»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до предполагаемой церемонии присуждения Премии.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Руководит заседанием Комиссии председатель Комиссии, а в его отсутствие - заместитель председателя Комиссии.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утверждает повестку заседания.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период отсутствия председателя Комиссии его функции осуществляет заместитель председателя.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Члены Комиссии имеют право: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4.6.1. Принимать участие в подготовке, обсуждении и принятии решений по вопросам,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Комиссии;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4.6.2. Получать от секретаря Комиссии необходимую информацию и материалы по вопросам,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работой Комиссии.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Члены Комиссии обязаны: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4.7.1. Принимать личное участие в подготовке, обсуждении и принятии решений по вопросам,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Комиссии;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4.7.2. Проявлять объективность и непредвзятость при рассмотрении вопросов на заседании Комиссии.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Организацию делопроизводства в Комиссии осуществляет секретарь Комиссии.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Секретарь Комиссии: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4.9.1. Ведет учет документов, поступивших на рассмотрение Комиссии и</w:t>
      </w:r>
      <w:r w:rsidRPr="008D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заседания Комиссии;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4.9.2. Возвращает неправильно оформленные материалы инициаторам на доработку;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Члены Комиссии обязаны соблюдать конфиденциальность сведений (персональных данных), полученных в рамках участия в работе Комиссии.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Мнения членов Комиссии вносятся в протокол. Решение принимается простым большинством голосов от общего числа членов Комиссии, присутствующих на заседании.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Комиссия принимает следующие решения: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4.12.1. О присуждении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П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4.12.2. Об отказе в 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присуждении ежего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П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ремий кандидатам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FDA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Критериями принятия решений членами Комиссии являются соответствие кандидата требованиям, предъявляемым пунктом 1 Положения о 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присуждении ежего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П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ремий кандидатам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наличием квот.</w:t>
      </w:r>
    </w:p>
    <w:p w:rsidR="00682FDA" w:rsidRDefault="00682FDA" w:rsidP="00682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4.14. Решение 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присуждении ежего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дных П</w:t>
      </w:r>
      <w:r w:rsidRPr="00A87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ремий кандидатам </w:t>
      </w:r>
      <w:r w:rsidRPr="0015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главой муниципального образования город Новороссийск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5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Комиссии и принимается в виде постановления администрации муниципального образования город Новороссийск.</w:t>
      </w:r>
    </w:p>
    <w:p w:rsidR="00682FDA" w:rsidRPr="00902FBD" w:rsidRDefault="00682FDA" w:rsidP="00682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</w:t>
      </w:r>
      <w:r w:rsidRPr="00902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разделении голосов поровну окончательное решение по конкретному вопросу принимает председательствующий на заседании Комиссии.</w:t>
      </w:r>
    </w:p>
    <w:p w:rsidR="00682FDA" w:rsidRDefault="00682FDA" w:rsidP="00682FDA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</w:t>
      </w:r>
    </w:p>
    <w:p w:rsidR="00682FDA" w:rsidRPr="00664276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Е.С. Азизов</w:t>
      </w:r>
    </w:p>
    <w:p w:rsidR="00682FDA" w:rsidRPr="00971ADB" w:rsidRDefault="00682FDA" w:rsidP="00682FD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6F85"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lastRenderedPageBreak/>
        <w:t>МУНИЦИПАЛ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FFFF" w:themeColor="background1"/>
          <w:spacing w:val="-15"/>
          <w:kern w:val="36"/>
          <w:sz w:val="28"/>
          <w:szCs w:val="28"/>
          <w:lang w:eastAsia="ru-RU"/>
        </w:rPr>
        <w:t xml:space="preserve"> 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Утвержден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682FDA" w:rsidRPr="00971ADB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Новороссийск</w:t>
      </w: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</w:t>
      </w:r>
      <w:r w:rsidRPr="00971ADB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от___________№_______</w:t>
      </w: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присуждению ежегодных премий главы муниципального образования город Новороссийск </w:t>
      </w:r>
    </w:p>
    <w:p w:rsidR="00682FDA" w:rsidRDefault="00682FDA" w:rsidP="00682FD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</w:t>
      </w:r>
      <w:r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682FDA" w:rsidRPr="00AF66F6" w:rsidRDefault="00682FDA" w:rsidP="00682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26" w:type="dxa"/>
        <w:tblInd w:w="138" w:type="dxa"/>
        <w:tblLook w:val="04A0" w:firstRow="1" w:lastRow="0" w:firstColumn="1" w:lastColumn="0" w:noHBand="0" w:noVBand="1"/>
      </w:tblPr>
      <w:tblGrid>
        <w:gridCol w:w="4365"/>
        <w:gridCol w:w="4961"/>
      </w:tblGrid>
      <w:tr w:rsidR="00682FDA" w:rsidRPr="00AF66F6" w:rsidTr="00101761">
        <w:tc>
          <w:tcPr>
            <w:tcW w:w="4365" w:type="dxa"/>
            <w:hideMark/>
          </w:tcPr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Дяченко </w:t>
            </w:r>
          </w:p>
          <w:p w:rsidR="00682FDA" w:rsidRPr="005A47F1" w:rsidRDefault="00682FDA" w:rsidP="0010176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Алексеевич</w:t>
            </w:r>
          </w:p>
        </w:tc>
        <w:tc>
          <w:tcPr>
            <w:tcW w:w="4961" w:type="dxa"/>
          </w:tcPr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образования, председатель комиссии;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образования, заместитель председателя комиссии;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  <w:hideMark/>
          </w:tcPr>
          <w:p w:rsidR="00682FDA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4961" w:type="dxa"/>
          </w:tcPr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начальника управления внутренней политики</w:t>
            </w:r>
            <w:r w:rsidRPr="005A4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  <w:p w:rsidR="00682FDA" w:rsidRPr="005A47F1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первый заместитель главы муниципального образования;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  <w:hideMark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образования;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7F7F7F"/>
                <w:sz w:val="24"/>
                <w:szCs w:val="24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  <w:hideMark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Цыбань</w:t>
            </w:r>
            <w:proofErr w:type="spellEnd"/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Викторович</w:t>
            </w: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образования;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Яменсков 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образования;</w:t>
            </w:r>
          </w:p>
        </w:tc>
      </w:tr>
      <w:tr w:rsidR="00682FDA" w:rsidRPr="00AF66F6" w:rsidTr="00101761">
        <w:tc>
          <w:tcPr>
            <w:tcW w:w="4365" w:type="dxa"/>
            <w:hideMark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Служалый</w:t>
            </w:r>
            <w:proofErr w:type="spellEnd"/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образования;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Бреус</w:t>
            </w:r>
            <w:proofErr w:type="spellEnd"/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4961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</w:t>
            </w: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муниципального образования;</w:t>
            </w:r>
          </w:p>
          <w:p w:rsidR="00682FDA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Николаевич</w:t>
            </w:r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682FDA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</w:t>
            </w: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образования;</w:t>
            </w:r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F6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Уманцев</w:t>
            </w:r>
            <w:proofErr w:type="spellEnd"/>
          </w:p>
          <w:p w:rsidR="00682FDA" w:rsidRPr="00AF66F6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Александрович</w:t>
            </w:r>
          </w:p>
          <w:p w:rsidR="00682FDA" w:rsidRDefault="00682FDA" w:rsidP="00101761">
            <w:pPr>
              <w:widowControl w:val="0"/>
              <w:tabs>
                <w:tab w:val="left" w:pos="694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образования;</w:t>
            </w:r>
          </w:p>
        </w:tc>
      </w:tr>
      <w:tr w:rsidR="00682FDA" w:rsidRPr="00AF66F6" w:rsidTr="00101761">
        <w:tc>
          <w:tcPr>
            <w:tcW w:w="4365" w:type="dxa"/>
          </w:tcPr>
          <w:p w:rsidR="00682FDA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Цымбал</w:t>
            </w:r>
            <w:proofErr w:type="spellEnd"/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961" w:type="dxa"/>
            <w:vAlign w:val="center"/>
          </w:tcPr>
          <w:p w:rsidR="00682FDA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Общественной палаты города Новороссийска (по согласованию);</w:t>
            </w:r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Кохан</w:t>
            </w:r>
            <w:proofErr w:type="spellEnd"/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Андреевна</w:t>
            </w:r>
          </w:p>
        </w:tc>
        <w:tc>
          <w:tcPr>
            <w:tcW w:w="4961" w:type="dxa"/>
          </w:tcPr>
          <w:p w:rsidR="00682FDA" w:rsidRDefault="00682FDA" w:rsidP="00101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</w:t>
            </w:r>
            <w:r w:rsidRPr="00AF66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омощник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муниципального образования.</w:t>
            </w:r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2FDA" w:rsidRPr="00AF66F6" w:rsidTr="00101761">
        <w:tc>
          <w:tcPr>
            <w:tcW w:w="4365" w:type="dxa"/>
          </w:tcPr>
          <w:p w:rsidR="00682FDA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Митина </w:t>
            </w:r>
          </w:p>
          <w:p w:rsidR="00682FDA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Татьяна Борисовна</w:t>
            </w:r>
          </w:p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82FDA" w:rsidRPr="00AF66F6" w:rsidRDefault="00682FDA" w:rsidP="00101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</w:t>
            </w:r>
            <w:r w:rsidRPr="00AF66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омощник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лавы муниципального образования;</w:t>
            </w:r>
          </w:p>
        </w:tc>
      </w:tr>
    </w:tbl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FDA" w:rsidRPr="001557B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82FDA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главы </w:t>
      </w:r>
    </w:p>
    <w:p w:rsidR="00682FDA" w:rsidRPr="00664276" w:rsidRDefault="00682FDA" w:rsidP="00682F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Е.С. Азизов</w:t>
      </w: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682FDA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2FDA" w:rsidRDefault="00682FDA" w:rsidP="00971A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82FDA" w:rsidSect="00664276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828F4"/>
    <w:multiLevelType w:val="multilevel"/>
    <w:tmpl w:val="AA9819F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54E82"/>
    <w:rsid w:val="000707F9"/>
    <w:rsid w:val="00071714"/>
    <w:rsid w:val="000751D1"/>
    <w:rsid w:val="00077DD1"/>
    <w:rsid w:val="000C405C"/>
    <w:rsid w:val="000D3306"/>
    <w:rsid w:val="00113D8E"/>
    <w:rsid w:val="001143A3"/>
    <w:rsid w:val="001233E3"/>
    <w:rsid w:val="00151618"/>
    <w:rsid w:val="001557BA"/>
    <w:rsid w:val="00160653"/>
    <w:rsid w:val="001A3B15"/>
    <w:rsid w:val="001E7359"/>
    <w:rsid w:val="001F086C"/>
    <w:rsid w:val="002009B1"/>
    <w:rsid w:val="002165E6"/>
    <w:rsid w:val="00276C1D"/>
    <w:rsid w:val="002871E3"/>
    <w:rsid w:val="002A6F85"/>
    <w:rsid w:val="002F0E68"/>
    <w:rsid w:val="00332233"/>
    <w:rsid w:val="00333CC5"/>
    <w:rsid w:val="003366FA"/>
    <w:rsid w:val="00344C8A"/>
    <w:rsid w:val="003571BD"/>
    <w:rsid w:val="00365168"/>
    <w:rsid w:val="00372C47"/>
    <w:rsid w:val="00373342"/>
    <w:rsid w:val="003F1C0E"/>
    <w:rsid w:val="00434DB6"/>
    <w:rsid w:val="004677A8"/>
    <w:rsid w:val="004B3EE6"/>
    <w:rsid w:val="004F629D"/>
    <w:rsid w:val="00504ADF"/>
    <w:rsid w:val="0055269E"/>
    <w:rsid w:val="00564C29"/>
    <w:rsid w:val="005876BB"/>
    <w:rsid w:val="00592A32"/>
    <w:rsid w:val="00597E17"/>
    <w:rsid w:val="005A47F1"/>
    <w:rsid w:val="005B5B26"/>
    <w:rsid w:val="005F1A3C"/>
    <w:rsid w:val="006170C5"/>
    <w:rsid w:val="006321B1"/>
    <w:rsid w:val="00664276"/>
    <w:rsid w:val="00664701"/>
    <w:rsid w:val="00665D88"/>
    <w:rsid w:val="00682FDA"/>
    <w:rsid w:val="006B79DF"/>
    <w:rsid w:val="006D24D6"/>
    <w:rsid w:val="006E2E38"/>
    <w:rsid w:val="00716A05"/>
    <w:rsid w:val="00727BD2"/>
    <w:rsid w:val="00747DD4"/>
    <w:rsid w:val="00761641"/>
    <w:rsid w:val="00782D74"/>
    <w:rsid w:val="007B3179"/>
    <w:rsid w:val="007B7734"/>
    <w:rsid w:val="007C2E37"/>
    <w:rsid w:val="007C3732"/>
    <w:rsid w:val="007F5F34"/>
    <w:rsid w:val="007F6C3C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D2430"/>
    <w:rsid w:val="009F42F7"/>
    <w:rsid w:val="00A8709F"/>
    <w:rsid w:val="00A875A2"/>
    <w:rsid w:val="00A90255"/>
    <w:rsid w:val="00AA28C2"/>
    <w:rsid w:val="00AD1E90"/>
    <w:rsid w:val="00AF5086"/>
    <w:rsid w:val="00AF66F6"/>
    <w:rsid w:val="00B42D9B"/>
    <w:rsid w:val="00B532F8"/>
    <w:rsid w:val="00B578EA"/>
    <w:rsid w:val="00B65232"/>
    <w:rsid w:val="00B70FCD"/>
    <w:rsid w:val="00BC69E6"/>
    <w:rsid w:val="00C32BB8"/>
    <w:rsid w:val="00C33D47"/>
    <w:rsid w:val="00C353EF"/>
    <w:rsid w:val="00C8227C"/>
    <w:rsid w:val="00CE74BC"/>
    <w:rsid w:val="00CF2C64"/>
    <w:rsid w:val="00D225CF"/>
    <w:rsid w:val="00D27EF8"/>
    <w:rsid w:val="00D3053F"/>
    <w:rsid w:val="00D927BA"/>
    <w:rsid w:val="00DA6F8E"/>
    <w:rsid w:val="00DA76C8"/>
    <w:rsid w:val="00DC1665"/>
    <w:rsid w:val="00E043F5"/>
    <w:rsid w:val="00E05FCC"/>
    <w:rsid w:val="00E42B9E"/>
    <w:rsid w:val="00E63260"/>
    <w:rsid w:val="00F0664C"/>
    <w:rsid w:val="00F2679D"/>
    <w:rsid w:val="00F37276"/>
    <w:rsid w:val="00F65C8C"/>
    <w:rsid w:val="00F84317"/>
    <w:rsid w:val="00FE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3953</Words>
  <Characters>22536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27</cp:revision>
  <cp:lastPrinted>2020-07-06T13:44:00Z</cp:lastPrinted>
  <dcterms:created xsi:type="dcterms:W3CDTF">2018-08-13T12:05:00Z</dcterms:created>
  <dcterms:modified xsi:type="dcterms:W3CDTF">2020-07-13T11:24:00Z</dcterms:modified>
</cp:coreProperties>
</file>