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0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0"/>
        </w:rPr>
        <w:t xml:space="preserve">ГРАЖДАН В ПЕРИОД ПРОВЕДЕНИЯ СПЕЦИАЛЬНОЙ ВОЕННОЙ ОПЕРАЦИИ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w:history="0" r:id="rId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обязанности, ограничения и запреты, установленные Федеральным </w:t>
      </w:r>
      <w:hyperlink w:history="0" r:id="rId7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w:history="0" r:id="rId8" w:tooltip="Федеральный закон от 25.12.2008 N 273-ФЗ (ред. от 19.1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29 декабря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968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  <w:br/>
            <w:t>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0822&amp;dst=100215" TargetMode = "External"/>
	<Relationship Id="rId7" Type="http://schemas.openxmlformats.org/officeDocument/2006/relationships/hyperlink" Target="https://login.consultant.ru/link/?req=doc&amp;base=LAW&amp;n=464894" TargetMode = "External"/>
	<Relationship Id="rId8" Type="http://schemas.openxmlformats.org/officeDocument/2006/relationships/hyperlink" Target="https://login.consultant.ru/link/?req=doc&amp;base=LAW&amp;n=46489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2024-04-01T07:31:34Z</dcterms:created>
</cp:coreProperties>
</file>