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package" ContentType="application/vnd.openxmlformats-officedocument.package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7.xml" ContentType="application/vnd.openxmlformats-officedocument.themeOverride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spacing w:after="0" w:line="240" w:lineRule="auto"/>
        <w:ind w:left="-426" w:right="-284"/>
        <w:jc w:val="center"/>
        <w:rPr>
          <w:rFonts w:ascii="Times New Roman" w:hAnsi="Times New Roman"/>
          <w:b/>
          <w:spacing w:val="20"/>
          <w:sz w:val="40"/>
          <w:szCs w:val="40"/>
        </w:rPr>
      </w:pPr>
    </w:p>
    <w:p w:rsidR="00982563" w:rsidRPr="00DC3264" w:rsidRDefault="00982563" w:rsidP="00982563">
      <w:pPr>
        <w:spacing w:before="120" w:after="120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Отчет</w:t>
      </w:r>
    </w:p>
    <w:p w:rsidR="00982563" w:rsidRDefault="00982563" w:rsidP="00982563">
      <w:pPr>
        <w:spacing w:before="120" w:after="120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>
        <w:rPr>
          <w:rFonts w:ascii="Times New Roman" w:hAnsi="Times New Roman"/>
          <w:b/>
          <w:sz w:val="48"/>
          <w:szCs w:val="48"/>
        </w:rPr>
        <w:t>, работ</w:t>
      </w:r>
      <w:r w:rsidRPr="00DC3264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982563" w:rsidRDefault="00982563" w:rsidP="00982563">
      <w:pPr>
        <w:spacing w:before="120" w:after="1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 201</w:t>
      </w:r>
      <w:r w:rsidR="00DE6C8B">
        <w:rPr>
          <w:rFonts w:ascii="Times New Roman" w:hAnsi="Times New Roman"/>
          <w:b/>
          <w:sz w:val="48"/>
          <w:szCs w:val="48"/>
        </w:rPr>
        <w:t>6</w:t>
      </w:r>
      <w:r>
        <w:rPr>
          <w:rFonts w:ascii="Times New Roman" w:hAnsi="Times New Roman"/>
          <w:b/>
          <w:sz w:val="48"/>
          <w:szCs w:val="48"/>
        </w:rPr>
        <w:t xml:space="preserve"> году</w:t>
      </w:r>
    </w:p>
    <w:p w:rsidR="00982563" w:rsidRDefault="00982563" w:rsidP="00982563">
      <w:pPr>
        <w:spacing w:before="120" w:after="1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муниципальном образовании </w:t>
      </w:r>
    </w:p>
    <w:p w:rsidR="00982563" w:rsidRPr="00DC3264" w:rsidRDefault="00982563" w:rsidP="00982563">
      <w:pPr>
        <w:spacing w:before="120" w:after="1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город Новороссийск</w:t>
      </w:r>
      <w:r w:rsidRPr="00DC3264">
        <w:rPr>
          <w:rFonts w:ascii="Times New Roman" w:hAnsi="Times New Roman"/>
          <w:b/>
          <w:sz w:val="48"/>
          <w:szCs w:val="48"/>
        </w:rPr>
        <w:t>»</w:t>
      </w:r>
    </w:p>
    <w:p w:rsidR="00982563" w:rsidRPr="005546E8" w:rsidRDefault="00982563" w:rsidP="00982563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5546E8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496" w:rsidRDefault="00745496" w:rsidP="00745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6DF" w:rsidRPr="00E23A46" w:rsidRDefault="00CC36DF" w:rsidP="00CC36DF">
      <w:pPr>
        <w:spacing w:before="120" w:after="120"/>
        <w:jc w:val="center"/>
        <w:rPr>
          <w:rFonts w:ascii="Times New Roman" w:hAnsi="Times New Roman"/>
          <w:b/>
          <w:sz w:val="28"/>
          <w:szCs w:val="36"/>
        </w:rPr>
      </w:pPr>
      <w:r w:rsidRPr="00E23A46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W w:w="9654" w:type="dxa"/>
        <w:tblInd w:w="93" w:type="dxa"/>
        <w:tblLook w:val="04A0"/>
      </w:tblPr>
      <w:tblGrid>
        <w:gridCol w:w="8946"/>
        <w:gridCol w:w="708"/>
      </w:tblGrid>
      <w:tr w:rsidR="00CC36DF" w:rsidRPr="004F03C8" w:rsidTr="0081246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CC36DF" w:rsidRPr="00A24276" w:rsidRDefault="00CC36DF" w:rsidP="00CC36D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1. Организация работы по внедрению составляющих Стандарта развития конкуренции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708" w:type="dxa"/>
            <w:noWrap/>
            <w:vAlign w:val="center"/>
          </w:tcPr>
          <w:p w:rsidR="00CC36DF" w:rsidRPr="00504507" w:rsidRDefault="00504507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C36DF" w:rsidRPr="004F03C8" w:rsidTr="00812464">
        <w:trPr>
          <w:trHeight w:val="900"/>
        </w:trPr>
        <w:tc>
          <w:tcPr>
            <w:tcW w:w="8946" w:type="dxa"/>
            <w:noWrap/>
            <w:vAlign w:val="center"/>
          </w:tcPr>
          <w:p w:rsidR="00CC36DF" w:rsidRPr="00A24276" w:rsidRDefault="00CC36DF" w:rsidP="00812464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Pr="00A24276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на рынках товаров, работ и услуг.</w:t>
            </w:r>
          </w:p>
        </w:tc>
        <w:tc>
          <w:tcPr>
            <w:tcW w:w="708" w:type="dxa"/>
            <w:noWrap/>
            <w:vAlign w:val="center"/>
          </w:tcPr>
          <w:p w:rsidR="00CC36DF" w:rsidRPr="00504507" w:rsidRDefault="00504507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C36DF" w:rsidRPr="004F03C8" w:rsidTr="00812464">
        <w:trPr>
          <w:trHeight w:val="300"/>
        </w:trPr>
        <w:tc>
          <w:tcPr>
            <w:tcW w:w="8946" w:type="dxa"/>
            <w:noWrap/>
            <w:vAlign w:val="center"/>
          </w:tcPr>
          <w:p w:rsidR="00CC36DF" w:rsidRPr="00A24276" w:rsidRDefault="00CC36DF" w:rsidP="00812464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</w:p>
        </w:tc>
        <w:tc>
          <w:tcPr>
            <w:tcW w:w="708" w:type="dxa"/>
            <w:noWrap/>
            <w:vAlign w:val="center"/>
          </w:tcPr>
          <w:p w:rsidR="00CC36DF" w:rsidRPr="00504507" w:rsidRDefault="00504507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45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  <w:vAlign w:val="center"/>
          </w:tcPr>
          <w:p w:rsidR="00CC36DF" w:rsidRPr="00A24276" w:rsidRDefault="00CC36DF" w:rsidP="00812464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Создание и реализация механизмов общественного контроля за деятельностью субъектов естественных монополий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504507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  <w:vAlign w:val="center"/>
          </w:tcPr>
          <w:p w:rsidR="00CC36DF" w:rsidRPr="00A24276" w:rsidRDefault="00CC36DF" w:rsidP="00812464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504507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  <w:vAlign w:val="center"/>
          </w:tcPr>
          <w:p w:rsidR="00CC36DF" w:rsidRPr="00A24276" w:rsidRDefault="00CC36DF" w:rsidP="00812464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6. Дополнительные комментарии со стороны муниципального образования («обратная связь»)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504507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  <w:vAlign w:val="center"/>
          </w:tcPr>
          <w:p w:rsidR="00CC36DF" w:rsidRPr="00A24276" w:rsidRDefault="00CC36DF" w:rsidP="00812464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CC36DF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</w:tcPr>
          <w:p w:rsidR="00CC36DF" w:rsidRPr="00CC36DF" w:rsidRDefault="00CC36DF" w:rsidP="00812464">
            <w:pPr>
              <w:spacing w:before="120"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6DF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CC3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ответственных лиц по вопросу внедрения стандарта развития конкуренции в муниципальном образовании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CC36DF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стр.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</w:tcPr>
          <w:p w:rsidR="00CC36DF" w:rsidRPr="00CC36DF" w:rsidRDefault="00CC36DF" w:rsidP="00812464">
            <w:pPr>
              <w:pStyle w:val="Default"/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C36DF">
              <w:rPr>
                <w:bCs/>
                <w:color w:val="auto"/>
                <w:sz w:val="28"/>
                <w:szCs w:val="28"/>
              </w:rPr>
              <w:t xml:space="preserve">2. Ведомственный план муниципального образования </w:t>
            </w:r>
            <w:r w:rsidRPr="00CC36DF">
              <w:rPr>
                <w:sz w:val="28"/>
                <w:szCs w:val="28"/>
              </w:rPr>
              <w:t>в формате PDF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CC36DF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 стр.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</w:tcPr>
          <w:p w:rsidR="00CC36DF" w:rsidRPr="00CC36DF" w:rsidRDefault="00CC36DF" w:rsidP="00812464">
            <w:pPr>
              <w:pStyle w:val="Default"/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C36DF">
              <w:rPr>
                <w:bCs/>
                <w:color w:val="auto"/>
                <w:sz w:val="28"/>
                <w:szCs w:val="28"/>
              </w:rPr>
              <w:t>3.</w:t>
            </w:r>
            <w:r w:rsidRPr="00CC36DF">
              <w:rPr>
                <w:rFonts w:eastAsia="Times New Roman"/>
                <w:sz w:val="28"/>
                <w:szCs w:val="28"/>
                <w:lang w:eastAsia="ru-RU"/>
              </w:rPr>
              <w:t xml:space="preserve"> Реестр субъектов естественных монополий, осуществляющих свою деятельность на территории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CC36DF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стр.</w:t>
            </w:r>
          </w:p>
        </w:tc>
      </w:tr>
      <w:tr w:rsidR="00CC36DF" w:rsidRPr="00E23A46" w:rsidTr="00812464">
        <w:trPr>
          <w:trHeight w:val="300"/>
        </w:trPr>
        <w:tc>
          <w:tcPr>
            <w:tcW w:w="8946" w:type="dxa"/>
            <w:noWrap/>
          </w:tcPr>
          <w:p w:rsidR="00CC36DF" w:rsidRPr="00CC36DF" w:rsidRDefault="00CC36DF" w:rsidP="00812464">
            <w:pPr>
              <w:pStyle w:val="Default"/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C36DF">
              <w:rPr>
                <w:bCs/>
                <w:color w:val="auto"/>
                <w:sz w:val="28"/>
                <w:szCs w:val="28"/>
              </w:rPr>
              <w:t>4.</w:t>
            </w:r>
            <w:r w:rsidRPr="00CC36DF">
              <w:rPr>
                <w:rFonts w:eastAsia="Times New Roman"/>
                <w:sz w:val="28"/>
                <w:szCs w:val="28"/>
                <w:lang w:eastAsia="ru-RU"/>
              </w:rPr>
              <w:t xml:space="preserve"> Реестр хозяйствующих субъектов, доля участия муниципального образования в которых составляет 50% и более, с обозначением рынка их присутствия</w:t>
            </w:r>
          </w:p>
        </w:tc>
        <w:tc>
          <w:tcPr>
            <w:tcW w:w="708" w:type="dxa"/>
            <w:noWrap/>
            <w:vAlign w:val="center"/>
          </w:tcPr>
          <w:p w:rsidR="00CC36DF" w:rsidRPr="00E23A46" w:rsidRDefault="00CC36DF" w:rsidP="005045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стр.</w:t>
            </w:r>
          </w:p>
        </w:tc>
      </w:tr>
    </w:tbl>
    <w:p w:rsidR="007227A8" w:rsidRDefault="007227A8" w:rsidP="007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6" w:rsidRDefault="00745496" w:rsidP="007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6" w:rsidRDefault="00745496" w:rsidP="007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6" w:rsidRDefault="00745496" w:rsidP="0072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DF" w:rsidRDefault="00CC36DF" w:rsidP="000F6640">
      <w:pPr>
        <w:jc w:val="center"/>
        <w:rPr>
          <w:rFonts w:ascii="Times New Roman" w:hAnsi="Times New Roman"/>
          <w:sz w:val="28"/>
          <w:szCs w:val="28"/>
        </w:rPr>
      </w:pPr>
    </w:p>
    <w:p w:rsidR="00CC36DF" w:rsidRDefault="00CC36DF" w:rsidP="000F6640">
      <w:pPr>
        <w:jc w:val="center"/>
        <w:rPr>
          <w:rFonts w:ascii="Times New Roman" w:hAnsi="Times New Roman"/>
          <w:sz w:val="28"/>
          <w:szCs w:val="28"/>
        </w:rPr>
      </w:pPr>
    </w:p>
    <w:p w:rsidR="00C24168" w:rsidRPr="00812464" w:rsidRDefault="00C24168" w:rsidP="000F6640">
      <w:pPr>
        <w:jc w:val="center"/>
        <w:rPr>
          <w:rFonts w:ascii="Times New Roman" w:hAnsi="Times New Roman"/>
          <w:b/>
          <w:sz w:val="28"/>
          <w:szCs w:val="28"/>
        </w:rPr>
      </w:pPr>
      <w:r w:rsidRPr="00812464">
        <w:rPr>
          <w:rFonts w:ascii="Times New Roman" w:hAnsi="Times New Roman"/>
          <w:b/>
          <w:sz w:val="28"/>
          <w:szCs w:val="28"/>
        </w:rPr>
        <w:lastRenderedPageBreak/>
        <w:t xml:space="preserve">Раздел 1. Организация работы по внедрению составляющих Стандарта развития конкуренции на территории муниципального образования </w:t>
      </w:r>
      <w:r w:rsidR="00CC36DF" w:rsidRPr="00812464">
        <w:rPr>
          <w:rFonts w:ascii="Times New Roman" w:hAnsi="Times New Roman"/>
          <w:b/>
          <w:sz w:val="28"/>
          <w:szCs w:val="28"/>
        </w:rPr>
        <w:t>город Новороссийск</w:t>
      </w:r>
    </w:p>
    <w:p w:rsidR="005E69FD" w:rsidRDefault="00CC36DF" w:rsidP="0060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работы по внедрению составляющих стандарта развития конкуренции</w:t>
      </w:r>
      <w:r w:rsidR="005E69FD">
        <w:rPr>
          <w:rFonts w:ascii="Times New Roman" w:hAnsi="Times New Roman"/>
          <w:sz w:val="28"/>
          <w:szCs w:val="28"/>
        </w:rPr>
        <w:t xml:space="preserve"> в муниципальных образованиях Краснодарского края определены ответственные лица по вопросу внедрения стандарта развития конкуренции</w:t>
      </w:r>
      <w:r w:rsidR="005E69FD" w:rsidRPr="005E69FD">
        <w:rPr>
          <w:rFonts w:ascii="Times New Roman" w:hAnsi="Times New Roman"/>
          <w:sz w:val="28"/>
          <w:szCs w:val="28"/>
        </w:rPr>
        <w:t xml:space="preserve"> </w:t>
      </w:r>
      <w:r w:rsidR="005E69FD">
        <w:rPr>
          <w:rFonts w:ascii="Times New Roman" w:hAnsi="Times New Roman"/>
          <w:sz w:val="28"/>
          <w:szCs w:val="28"/>
        </w:rPr>
        <w:t xml:space="preserve">в муниципальном образовании город Новороссийск. (Приложение № 1). </w:t>
      </w:r>
    </w:p>
    <w:p w:rsidR="0045106D" w:rsidRDefault="00B153C9" w:rsidP="0060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</w:t>
      </w:r>
      <w:r w:rsidR="005E69FD">
        <w:rPr>
          <w:rFonts w:ascii="Times New Roman" w:hAnsi="Times New Roman"/>
          <w:sz w:val="28"/>
          <w:szCs w:val="28"/>
        </w:rPr>
        <w:t xml:space="preserve">ована рабочая группа </w:t>
      </w:r>
      <w:r w:rsidR="0045106D">
        <w:rPr>
          <w:rFonts w:ascii="Times New Roman" w:hAnsi="Times New Roman"/>
          <w:sz w:val="28"/>
          <w:szCs w:val="28"/>
        </w:rPr>
        <w:t>под председательством</w:t>
      </w:r>
      <w:r w:rsidR="005E69FD">
        <w:rPr>
          <w:rFonts w:ascii="Times New Roman" w:hAnsi="Times New Roman"/>
          <w:sz w:val="28"/>
          <w:szCs w:val="28"/>
        </w:rPr>
        <w:t xml:space="preserve"> заместител</w:t>
      </w:r>
      <w:r w:rsidR="0045106D">
        <w:rPr>
          <w:rFonts w:ascii="Times New Roman" w:hAnsi="Times New Roman"/>
          <w:sz w:val="28"/>
          <w:szCs w:val="28"/>
        </w:rPr>
        <w:t>я</w:t>
      </w:r>
      <w:r w:rsidR="005E69FD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45106D">
        <w:rPr>
          <w:rFonts w:ascii="Times New Roman" w:hAnsi="Times New Roman"/>
          <w:sz w:val="28"/>
          <w:szCs w:val="28"/>
        </w:rPr>
        <w:t>,</w:t>
      </w:r>
      <w:r w:rsidR="005E69FD">
        <w:rPr>
          <w:rFonts w:ascii="Times New Roman" w:hAnsi="Times New Roman"/>
          <w:sz w:val="28"/>
          <w:szCs w:val="28"/>
        </w:rPr>
        <w:t xml:space="preserve"> курирующе</w:t>
      </w:r>
      <w:r w:rsidR="00606AB4">
        <w:rPr>
          <w:rFonts w:ascii="Times New Roman" w:hAnsi="Times New Roman"/>
          <w:sz w:val="28"/>
          <w:szCs w:val="28"/>
        </w:rPr>
        <w:t>го</w:t>
      </w:r>
      <w:r w:rsidR="005E69FD">
        <w:rPr>
          <w:rFonts w:ascii="Times New Roman" w:hAnsi="Times New Roman"/>
          <w:sz w:val="28"/>
          <w:szCs w:val="28"/>
        </w:rPr>
        <w:t xml:space="preserve"> вопросы экономики и финансов</w:t>
      </w:r>
      <w:r w:rsidR="0045106D">
        <w:rPr>
          <w:rFonts w:ascii="Times New Roman" w:hAnsi="Times New Roman"/>
          <w:sz w:val="28"/>
          <w:szCs w:val="28"/>
        </w:rPr>
        <w:t>,</w:t>
      </w:r>
      <w:r w:rsidR="005E69FD">
        <w:rPr>
          <w:rFonts w:ascii="Times New Roman" w:hAnsi="Times New Roman"/>
          <w:sz w:val="28"/>
          <w:szCs w:val="28"/>
        </w:rPr>
        <w:t xml:space="preserve"> Калининой Светлан</w:t>
      </w:r>
      <w:r w:rsidR="0045106D">
        <w:rPr>
          <w:rFonts w:ascii="Times New Roman" w:hAnsi="Times New Roman"/>
          <w:sz w:val="28"/>
          <w:szCs w:val="28"/>
        </w:rPr>
        <w:t>ы</w:t>
      </w:r>
      <w:r w:rsidR="005E69FD">
        <w:rPr>
          <w:rFonts w:ascii="Times New Roman" w:hAnsi="Times New Roman"/>
          <w:sz w:val="28"/>
          <w:szCs w:val="28"/>
        </w:rPr>
        <w:t xml:space="preserve"> Владимировн</w:t>
      </w:r>
      <w:r w:rsidR="0045106D">
        <w:rPr>
          <w:rFonts w:ascii="Times New Roman" w:hAnsi="Times New Roman"/>
          <w:sz w:val="28"/>
          <w:szCs w:val="28"/>
        </w:rPr>
        <w:t xml:space="preserve">ы. </w:t>
      </w:r>
    </w:p>
    <w:p w:rsidR="00D24E24" w:rsidRDefault="00B153C9" w:rsidP="00606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 и Положение о рабочей гркппе утверждены Постановлением администрации муниципального образования город Новороссийск от 28 декабря 2016 года №10878 «Об образовании рабочей группы по содействию развитию конкуренции на территории муниципального образования город Новороссийск»</w:t>
      </w:r>
      <w:r w:rsidR="00D24E24">
        <w:rPr>
          <w:rFonts w:ascii="Times New Roman" w:hAnsi="Times New Roman"/>
          <w:sz w:val="28"/>
          <w:szCs w:val="28"/>
        </w:rPr>
        <w:t xml:space="preserve">. </w:t>
      </w:r>
      <w:r w:rsidR="00606AB4">
        <w:rPr>
          <w:rFonts w:ascii="Times New Roman" w:hAnsi="Times New Roman"/>
          <w:sz w:val="28"/>
          <w:szCs w:val="28"/>
        </w:rPr>
        <w:t xml:space="preserve">Постановление размещено </w:t>
      </w:r>
      <w:r w:rsidR="00D24E2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 Новороссийск:  </w:t>
      </w:r>
      <w:r w:rsidR="00D24E24" w:rsidRPr="00527D11">
        <w:rPr>
          <w:rFonts w:ascii="Times New Roman" w:hAnsi="Times New Roman" w:cs="Times New Roman"/>
          <w:sz w:val="28"/>
          <w:szCs w:val="28"/>
          <w:u w:val="single"/>
        </w:rPr>
        <w:t>http://admnvrsk.ru/podrazdeleniya/upravleniya/upravlenie-jekonomicheskogo-razvitija/standart-razvitiya-konkurentsii/</w:t>
      </w:r>
    </w:p>
    <w:p w:rsidR="00606AB4" w:rsidRDefault="00606AB4" w:rsidP="0060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06D" w:rsidRDefault="00606AB4" w:rsidP="0060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группы:</w:t>
      </w:r>
    </w:p>
    <w:tbl>
      <w:tblPr>
        <w:tblW w:w="9215" w:type="dxa"/>
        <w:tblInd w:w="108" w:type="dxa"/>
        <w:tblLayout w:type="fixed"/>
        <w:tblLook w:val="0000"/>
      </w:tblPr>
      <w:tblGrid>
        <w:gridCol w:w="3686"/>
        <w:gridCol w:w="5529"/>
      </w:tblGrid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город Новороссийск по экономике и финансам, председатель рабочей группы;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Игнатенко     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Владимирович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экономического развития, заместитель председателя рабочей группы;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Цыбань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потребительского рынка, курортной сферы, малого бизнеса и инвестиций, заместитель председателя рабочей группы;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Скидан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Васильевич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управления экономического развития, секретарь рабочей группы;</w:t>
            </w:r>
          </w:p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Агапов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город Новороссийск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город Новороссийск по социальным вопросам;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Служалый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Владимирович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заместитель главы муниципального </w:t>
            </w: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город Новороссийск по </w:t>
            </w:r>
            <w:r w:rsidRPr="00B15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жилищно-коммунальному хозяйству и развитию городского хозяйства;</w:t>
            </w:r>
          </w:p>
        </w:tc>
      </w:tr>
      <w:tr w:rsidR="00B153C9" w:rsidRPr="00B153C9" w:rsidTr="00D72147">
        <w:trPr>
          <w:trHeight w:val="547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Яменсков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город Новороссийск по ГО и ЧС и взаимодействию с правоохранительными органами;</w:t>
            </w:r>
          </w:p>
        </w:tc>
      </w:tr>
      <w:tr w:rsidR="00B153C9" w:rsidRPr="00B153C9" w:rsidTr="00D72147">
        <w:trPr>
          <w:trHeight w:val="135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Белянский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имущественных и земельных отношений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Джавадова Евгения Николаевна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МКУ «УЖКХ»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8C7E73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B153C9"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"http://admnvrsk.ru/administratsiya/struktura-administratsii/sotrudniki/upravleniya/person-20150724110322-138403/" </w:instrText>
            </w: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153C9"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Иванчишин   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Анатольевич</w:t>
            </w:r>
            <w:r w:rsidR="008C7E73"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здравоохранения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 физической культуре и спорту муниципального образования город Новороссийск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Матвейчук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Васильевич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культуры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Николай Иванович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сельского хозяйства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Пономаренко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 Александрович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курортам и туризму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146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Иосифовна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477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Иванович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исполняющий обязанности начальника управления транспорта и связи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477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экономики управления экономического развития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477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Уюткина </w:t>
            </w:r>
          </w:p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Григорьевна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сектором ценообразования управления  экономического развития муниципального образования город Новороссийск;</w:t>
            </w:r>
          </w:p>
        </w:tc>
      </w:tr>
      <w:tr w:rsidR="00B153C9" w:rsidRPr="00B153C9" w:rsidTr="00D72147">
        <w:trPr>
          <w:trHeight w:val="477"/>
        </w:trPr>
        <w:tc>
          <w:tcPr>
            <w:tcW w:w="3686" w:type="dxa"/>
          </w:tcPr>
          <w:p w:rsidR="00B153C9" w:rsidRPr="00B153C9" w:rsidRDefault="00B153C9" w:rsidP="0060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</w:t>
            </w:r>
            <w:r w:rsidR="0060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 Анна Игоревна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взамиодействию с малым и средним бизнесом муниципального образования город </w:t>
            </w: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Новороссийск</w:t>
            </w:r>
            <w:r w:rsidRPr="00B153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53C9" w:rsidRPr="00B153C9" w:rsidTr="00D72147">
        <w:trPr>
          <w:trHeight w:val="477"/>
        </w:trPr>
        <w:tc>
          <w:tcPr>
            <w:tcW w:w="3686" w:type="dxa"/>
          </w:tcPr>
          <w:p w:rsidR="00B153C9" w:rsidRPr="00B153C9" w:rsidRDefault="00B153C9" w:rsidP="00B1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Панюшкина Анжелика Анатольевна</w:t>
            </w:r>
          </w:p>
        </w:tc>
        <w:tc>
          <w:tcPr>
            <w:tcW w:w="5529" w:type="dxa"/>
          </w:tcPr>
          <w:p w:rsidR="00B153C9" w:rsidRPr="00B153C9" w:rsidRDefault="00B153C9" w:rsidP="00B1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ГКУ КК «Центр занятости населения города Новороссийска» (по согласованию)</w:t>
            </w:r>
          </w:p>
        </w:tc>
      </w:tr>
    </w:tbl>
    <w:p w:rsidR="00606AB4" w:rsidRDefault="00606AB4" w:rsidP="00D24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E24" w:rsidRDefault="00D24E24" w:rsidP="00D24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назначением Цыбань Виктора Викторовича на должность первого заместителя главы муниципального образования город Новороссийск подготолен проект постановления о внесении изменений в Постановление администрации муниципального образования город Новороссийск от 28 декабря 2016 года №10878 «Об образовании рабочей группы по содействию развитию конкуренции на территории муниципального образования город Новороссийск».</w:t>
      </w:r>
    </w:p>
    <w:p w:rsidR="00812464" w:rsidRDefault="005E69FD" w:rsidP="00D24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6AB4">
        <w:rPr>
          <w:rFonts w:ascii="Times New Roman" w:hAnsi="Times New Roman"/>
          <w:sz w:val="28"/>
          <w:szCs w:val="28"/>
        </w:rPr>
        <w:t>В ходе работы по внедрению Стандарта развития конкуренции осуществляется взаимодействие с территориальными органами Федеральной налоговой службы, Пенсионного фонда России, Новороссийской торгово-промышленной палатой, представителями хозяйствующих субъектов.</w:t>
      </w:r>
    </w:p>
    <w:p w:rsidR="00CC36DF" w:rsidRDefault="00CC5CAE" w:rsidP="00D24E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 года в муниципальном образовании было обеспечено проведение мониторинга конкурентной среды</w:t>
      </w:r>
      <w:r w:rsidR="003C769F">
        <w:rPr>
          <w:rFonts w:ascii="Times New Roman" w:hAnsi="Times New Roman"/>
          <w:sz w:val="28"/>
          <w:szCs w:val="28"/>
        </w:rPr>
        <w:t>.</w:t>
      </w:r>
    </w:p>
    <w:p w:rsidR="003C769F" w:rsidRDefault="003C769F" w:rsidP="003C769F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050D5">
        <w:rPr>
          <w:rFonts w:ascii="Times New Roman" w:eastAsia="Times New Roman" w:hAnsi="Times New Roman"/>
          <w:sz w:val="28"/>
          <w:szCs w:val="28"/>
        </w:rPr>
        <w:t>Разработанные министерством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0D5">
        <w:rPr>
          <w:rFonts w:ascii="Times New Roman" w:eastAsia="Times New Roman" w:hAnsi="Times New Roman"/>
          <w:sz w:val="28"/>
          <w:szCs w:val="28"/>
        </w:rPr>
        <w:t>анкеты были опубликованы на сайте отдела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0D5">
        <w:rPr>
          <w:rFonts w:ascii="Times New Roman" w:eastAsia="Times New Roman" w:hAnsi="Times New Roman"/>
          <w:sz w:val="28"/>
          <w:szCs w:val="28"/>
        </w:rPr>
        <w:t>взаимодействию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0D5">
        <w:rPr>
          <w:rFonts w:ascii="Times New Roman" w:eastAsia="Times New Roman" w:hAnsi="Times New Roman"/>
          <w:sz w:val="28"/>
          <w:szCs w:val="28"/>
        </w:rPr>
        <w:t>с малым и средним бизнесом, а также на официальном са</w:t>
      </w:r>
      <w:r>
        <w:rPr>
          <w:rFonts w:ascii="Times New Roman" w:eastAsia="Times New Roman" w:hAnsi="Times New Roman"/>
          <w:sz w:val="28"/>
          <w:szCs w:val="28"/>
        </w:rPr>
        <w:t>йте   администрации,    инвестиционном      портале    мо           г. Новорос</w:t>
      </w:r>
      <w:r w:rsidRPr="009050D5">
        <w:rPr>
          <w:rFonts w:ascii="Times New Roman" w:eastAsia="Times New Roman" w:hAnsi="Times New Roman"/>
          <w:sz w:val="28"/>
          <w:szCs w:val="28"/>
        </w:rPr>
        <w:t>сийск.</w:t>
      </w:r>
    </w:p>
    <w:p w:rsidR="003C769F" w:rsidRDefault="003C769F" w:rsidP="003C769F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Способы проведения мониторинга, которые были использованы отделом по взаимодействию с малым и средним бизнесом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город Новороссийск:</w:t>
      </w:r>
    </w:p>
    <w:p w:rsidR="003C769F" w:rsidRDefault="003C769F" w:rsidP="003C769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0D5">
        <w:rPr>
          <w:rFonts w:ascii="Times New Roman" w:eastAsia="Times New Roman" w:hAnsi="Times New Roman"/>
          <w:sz w:val="28"/>
          <w:szCs w:val="28"/>
          <w:lang w:eastAsia="ru-RU"/>
        </w:rPr>
        <w:t>Онлайн анкетирование</w:t>
      </w:r>
    </w:p>
    <w:p w:rsidR="003C769F" w:rsidRDefault="003C769F" w:rsidP="003C769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 в МФЦ муниципального образования г. Новороссийск  (как субъектов малого и среднего бизнеса, также потребителей товаров и услуг)</w:t>
      </w:r>
    </w:p>
    <w:p w:rsidR="003C769F" w:rsidRDefault="003C769F" w:rsidP="003C769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 в отделе по взаимодействию с малым и средним бизнесом муниципального образования.</w:t>
      </w:r>
    </w:p>
    <w:p w:rsidR="003C769F" w:rsidRDefault="003C769F" w:rsidP="003C769F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69F" w:rsidRPr="00C07C27" w:rsidRDefault="003C769F" w:rsidP="003C769F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C27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респондентов, задействованных при проведении мониторинга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tbl>
      <w:tblPr>
        <w:tblW w:w="10248" w:type="dxa"/>
        <w:jc w:val="center"/>
        <w:tblInd w:w="93" w:type="dxa"/>
        <w:tblLook w:val="04A0"/>
      </w:tblPr>
      <w:tblGrid>
        <w:gridCol w:w="833"/>
        <w:gridCol w:w="2033"/>
        <w:gridCol w:w="1534"/>
        <w:gridCol w:w="1543"/>
        <w:gridCol w:w="1543"/>
        <w:gridCol w:w="1543"/>
        <w:gridCol w:w="1543"/>
      </w:tblGrid>
      <w:tr w:rsidR="003C769F" w:rsidRPr="00EA4AE8" w:rsidTr="00D72147">
        <w:trPr>
          <w:trHeight w:val="91"/>
          <w:jc w:val="center"/>
        </w:trPr>
        <w:tc>
          <w:tcPr>
            <w:tcW w:w="10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69F" w:rsidRPr="00EA4AE8" w:rsidRDefault="003C769F" w:rsidP="00D72147">
            <w:pPr>
              <w:rPr>
                <w:b/>
                <w:color w:val="000000"/>
              </w:rPr>
            </w:pP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всего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Размер бизнеса</w:t>
            </w:r>
          </w:p>
        </w:tc>
      </w:tr>
      <w:tr w:rsidR="003C769F" w:rsidRPr="00C07C27" w:rsidTr="00D72147">
        <w:trPr>
          <w:trHeight w:val="2100"/>
          <w:jc w:val="center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микро-предприятий (до 120 млн. руб.)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малых предприятий (от 121 до 800 млн. руб.)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средних предприятий (от 801 до 2 000 млн. руб.)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крупных предприятий</w:t>
            </w:r>
            <w:r w:rsidRPr="00C07C27">
              <w:rPr>
                <w:rFonts w:ascii="Times New Roman" w:hAnsi="Times New Roman" w:cs="Times New Roman"/>
                <w:sz w:val="24"/>
                <w:szCs w:val="24"/>
              </w:rPr>
              <w:br/>
              <w:t>(более 2 001 млн. руб.)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Сельское хозяйство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</w:t>
            </w:r>
            <w:r w:rsidRPr="00C0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здравоохранения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Деятельность по организации развлечений и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ресторанов, кафе, баров и столовых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транспорта (пассажирские и грузовые перевозки)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Производство, ремонт, продажа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Производство мяса и мясопродуктов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</w:tbl>
    <w:p w:rsidR="003C769F" w:rsidRDefault="003C769F" w:rsidP="003C769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9F" w:rsidRDefault="003C769F" w:rsidP="003C769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60">
        <w:rPr>
          <w:rFonts w:ascii="Times New Roman" w:hAnsi="Times New Roman" w:cs="Times New Roman"/>
          <w:b/>
          <w:sz w:val="28"/>
          <w:szCs w:val="28"/>
        </w:rPr>
        <w:t xml:space="preserve">Количество потребителей товаров и услуг, </w:t>
      </w:r>
    </w:p>
    <w:p w:rsidR="003C769F" w:rsidRPr="00E74A60" w:rsidRDefault="003C769F" w:rsidP="003C769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60">
        <w:rPr>
          <w:rFonts w:ascii="Times New Roman" w:hAnsi="Times New Roman" w:cs="Times New Roman"/>
          <w:b/>
          <w:sz w:val="28"/>
          <w:szCs w:val="28"/>
        </w:rPr>
        <w:t>принявших участие в опросе.</w:t>
      </w:r>
    </w:p>
    <w:p w:rsidR="003C769F" w:rsidRPr="00C07C27" w:rsidRDefault="003C769F" w:rsidP="003C769F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6800" w:type="dxa"/>
        <w:jc w:val="center"/>
        <w:tblInd w:w="93" w:type="dxa"/>
        <w:tblLook w:val="04A0"/>
      </w:tblPr>
      <w:tblGrid>
        <w:gridCol w:w="960"/>
        <w:gridCol w:w="3820"/>
        <w:gridCol w:w="2020"/>
      </w:tblGrid>
      <w:tr w:rsidR="003C769F" w:rsidRPr="00C07C27" w:rsidTr="00D72147">
        <w:trPr>
          <w:trHeight w:val="87"/>
          <w:jc w:val="center"/>
        </w:trPr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69F" w:rsidRPr="00C07C27" w:rsidTr="00D72147">
        <w:trPr>
          <w:trHeight w:val="57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</w:t>
            </w:r>
          </w:p>
        </w:tc>
      </w:tr>
      <w:tr w:rsidR="003C769F" w:rsidRPr="00C07C27" w:rsidTr="00D72147">
        <w:trPr>
          <w:trHeight w:val="5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Без работные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Учащиеся / студенты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769F" w:rsidRPr="00C07C27" w:rsidTr="00D7214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</w:tbl>
    <w:p w:rsidR="003C769F" w:rsidRPr="00F5370D" w:rsidRDefault="003C769F" w:rsidP="003C769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0D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состоянии конкурентной среды на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7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70D">
        <w:rPr>
          <w:rFonts w:ascii="Times New Roman" w:hAnsi="Times New Roman" w:cs="Times New Roman"/>
          <w:b/>
          <w:sz w:val="28"/>
          <w:szCs w:val="28"/>
        </w:rPr>
        <w:t>значимых и приоритетных рынка.</w:t>
      </w:r>
    </w:p>
    <w:p w:rsidR="003C769F" w:rsidRPr="00C07C27" w:rsidRDefault="003C769F" w:rsidP="003C769F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485"/>
        <w:gridCol w:w="4469"/>
        <w:gridCol w:w="2308"/>
        <w:gridCol w:w="2308"/>
      </w:tblGrid>
      <w:tr w:rsidR="003C769F" w:rsidRPr="00C07C27" w:rsidTr="00D72147">
        <w:trPr>
          <w:jc w:val="center"/>
        </w:trPr>
        <w:tc>
          <w:tcPr>
            <w:tcW w:w="490" w:type="dxa"/>
            <w:vAlign w:val="center"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959" w:type="dxa"/>
            <w:vAlign w:val="center"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</w:tc>
        <w:tc>
          <w:tcPr>
            <w:tcW w:w="1959" w:type="dxa"/>
            <w:vAlign w:val="center"/>
          </w:tcPr>
          <w:p w:rsidR="003C769F" w:rsidRPr="00C07C27" w:rsidRDefault="003C769F" w:rsidP="00D7214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4" w:type="dxa"/>
            <w:vAlign w:val="center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4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сельскохозяйственной продукции (овощной и плодовоягодной продукции, продукции животноводства)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C769F" w:rsidRPr="00C07C27" w:rsidTr="00D72147">
        <w:trPr>
          <w:jc w:val="center"/>
        </w:trPr>
        <w:tc>
          <w:tcPr>
            <w:tcW w:w="490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4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Рынок бытовых услуг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59" w:type="dxa"/>
          </w:tcPr>
          <w:p w:rsidR="003C769F" w:rsidRPr="00C07C27" w:rsidRDefault="003C769F" w:rsidP="00D7214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:rsidR="003C769F" w:rsidRDefault="003C769F" w:rsidP="003C769F">
      <w:pPr>
        <w:pStyle w:val="ae"/>
        <w:ind w:left="-142"/>
        <w:rPr>
          <w:rFonts w:ascii="Times New Roman" w:hAnsi="Times New Roman" w:cs="Times New Roman"/>
          <w:sz w:val="28"/>
          <w:szCs w:val="28"/>
        </w:rPr>
      </w:pPr>
    </w:p>
    <w:p w:rsidR="003C769F" w:rsidRPr="00F5370D" w:rsidRDefault="003C769F" w:rsidP="003C769F">
      <w:pPr>
        <w:pStyle w:val="ae"/>
        <w:ind w:left="-142"/>
        <w:rPr>
          <w:rFonts w:ascii="Times New Roman" w:hAnsi="Times New Roman" w:cs="Times New Roman"/>
          <w:sz w:val="28"/>
          <w:szCs w:val="28"/>
        </w:rPr>
      </w:pPr>
      <w:r w:rsidRPr="00F5370D">
        <w:rPr>
          <w:rFonts w:ascii="Times New Roman" w:hAnsi="Times New Roman" w:cs="Times New Roman"/>
          <w:sz w:val="28"/>
          <w:szCs w:val="28"/>
        </w:rPr>
        <w:t>По результатам проведенного опроса, оценка уровня административных барьеров, влияющих на ведение деятельности или открытия нового бизнеса на рынке – хорошо.</w:t>
      </w:r>
    </w:p>
    <w:p w:rsidR="00C24168" w:rsidRDefault="00C24168" w:rsidP="00D2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168" w:rsidRPr="004F6CEB" w:rsidRDefault="00C24168" w:rsidP="000F66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6C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</w:t>
      </w:r>
      <w:r w:rsidRPr="004F6CEB">
        <w:rPr>
          <w:rFonts w:ascii="Times New Roman" w:hAnsi="Times New Roman"/>
          <w:b/>
          <w:bCs/>
          <w:sz w:val="28"/>
          <w:szCs w:val="28"/>
        </w:rPr>
        <w:t>Состояние и развитие конкурентной среды на рынках товаров, работ и услуг.</w:t>
      </w:r>
    </w:p>
    <w:p w:rsidR="00C24168" w:rsidRDefault="00C24168" w:rsidP="00C2416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4168">
        <w:rPr>
          <w:rFonts w:ascii="Times New Roman" w:hAnsi="Times New Roman" w:cs="Times New Roman"/>
          <w:b/>
          <w:sz w:val="28"/>
          <w:szCs w:val="28"/>
        </w:rPr>
        <w:t>Анализ хозяйствующих субъектов на территории муниципального образования.</w:t>
      </w:r>
    </w:p>
    <w:p w:rsidR="00C24168" w:rsidRPr="00C24168" w:rsidRDefault="00C24168" w:rsidP="00C24168">
      <w:pPr>
        <w:pStyle w:val="a8"/>
        <w:ind w:firstLine="426"/>
        <w:jc w:val="both"/>
        <w:rPr>
          <w:sz w:val="28"/>
          <w:szCs w:val="28"/>
        </w:rPr>
      </w:pPr>
      <w:r w:rsidRPr="00C24168">
        <w:rPr>
          <w:sz w:val="28"/>
          <w:szCs w:val="28"/>
        </w:rPr>
        <w:t>Город Новороссийск является одним из ведущих городов Краснодарского края, формирующих основу экономической системы Кубани.</w:t>
      </w:r>
    </w:p>
    <w:p w:rsidR="00C24168" w:rsidRPr="00C24168" w:rsidRDefault="00C24168" w:rsidP="00C24168">
      <w:pPr>
        <w:pStyle w:val="a8"/>
        <w:ind w:firstLine="426"/>
        <w:jc w:val="both"/>
        <w:rPr>
          <w:sz w:val="28"/>
          <w:szCs w:val="28"/>
        </w:rPr>
      </w:pPr>
      <w:r w:rsidRPr="00C24168">
        <w:rPr>
          <w:sz w:val="28"/>
          <w:szCs w:val="28"/>
        </w:rPr>
        <w:t>Новороссийск производит около 12 % валового внутреннего продукта региона и занимает 2-е место после г.Краснодара по величине объёмов производства продукции и услуг.</w:t>
      </w:r>
    </w:p>
    <w:p w:rsidR="00C24168" w:rsidRDefault="00C24168" w:rsidP="00C2416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168">
        <w:rPr>
          <w:rFonts w:ascii="Times New Roman" w:hAnsi="Times New Roman" w:cs="Times New Roman"/>
          <w:sz w:val="28"/>
          <w:szCs w:val="28"/>
        </w:rPr>
        <w:t xml:space="preserve">По итогам 2016 года город занимает 1 место среди городских округов и муниципальных районов края по темпам роста основных экономических показателей.  </w:t>
      </w:r>
    </w:p>
    <w:p w:rsidR="00C24168" w:rsidRPr="005A16C3" w:rsidRDefault="00C24168" w:rsidP="00C24168">
      <w:pPr>
        <w:pStyle w:val="a3"/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1.1</w:t>
      </w:r>
    </w:p>
    <w:tbl>
      <w:tblPr>
        <w:tblW w:w="93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2628"/>
        <w:gridCol w:w="916"/>
        <w:gridCol w:w="993"/>
        <w:gridCol w:w="992"/>
        <w:gridCol w:w="1275"/>
        <w:gridCol w:w="852"/>
        <w:gridCol w:w="992"/>
      </w:tblGrid>
      <w:tr w:rsidR="00C24168" w:rsidRPr="001251C5" w:rsidTr="00C24168">
        <w:trPr>
          <w:trHeight w:val="30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1251C5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1251C5" w:rsidRDefault="00C24168" w:rsidP="00C24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1251C5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1251C5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C2416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C24168" w:rsidRPr="001251C5" w:rsidRDefault="00C24168" w:rsidP="00C24168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 к, %</w:t>
            </w:r>
          </w:p>
        </w:tc>
      </w:tr>
      <w:tr w:rsidR="00C24168" w:rsidRPr="001251C5" w:rsidTr="00C24168">
        <w:trPr>
          <w:trHeight w:val="517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1251C5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1251C5" w:rsidRDefault="00C24168" w:rsidP="00C24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C24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C24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C241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C241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C24168" w:rsidRPr="001251C5" w:rsidRDefault="00C24168" w:rsidP="00C241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168" w:rsidRPr="001251C5" w:rsidTr="00C24168">
        <w:trPr>
          <w:trHeight w:val="63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</w:tr>
      <w:tr w:rsidR="00C24168" w:rsidRPr="001251C5" w:rsidTr="00C24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20448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21065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21135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C24168" w:rsidRPr="001251C5" w:rsidTr="00C24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 (по данным Статрегистра Краснодарстата)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9377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9203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9242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</w:tr>
      <w:tr w:rsidR="00C24168" w:rsidRPr="001251C5" w:rsidTr="00C24168">
        <w:trPr>
          <w:trHeight w:val="4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11291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11614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11790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11821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101,5</w:t>
            </w:r>
          </w:p>
        </w:tc>
      </w:tr>
      <w:tr w:rsidR="00C24168" w:rsidRPr="001251C5" w:rsidTr="00C24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232,3</w:t>
            </w:r>
          </w:p>
        </w:tc>
      </w:tr>
      <w:tr w:rsidR="00C24168" w:rsidRPr="001251C5" w:rsidTr="00C24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крупного бизнеса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24168" w:rsidRPr="001251C5" w:rsidTr="00C24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15182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15681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15862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15897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4F7524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24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</w:tr>
      <w:tr w:rsidR="00C24168" w:rsidRPr="001251C5" w:rsidTr="00C24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C2416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C241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занятых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среднем </w:t>
            </w:r>
            <w:r w:rsidRPr="001251C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предпринимательстве, человек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34327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33916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33228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33299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5F5B58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5F5B58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58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5F5B58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5F5B58" w:rsidRDefault="00C24168" w:rsidP="00C241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58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</w:tbl>
    <w:p w:rsidR="00C24168" w:rsidRPr="005A16C3" w:rsidRDefault="00C24168" w:rsidP="00016C8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68" w:rsidRDefault="00C24168" w:rsidP="00016C8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отраслевой специфики экономики муниципального образования.</w:t>
      </w:r>
    </w:p>
    <w:p w:rsidR="00C24168" w:rsidRPr="005A16C3" w:rsidRDefault="00C24168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16C3">
        <w:rPr>
          <w:rFonts w:ascii="Times New Roman" w:eastAsia="Times New Roman" w:hAnsi="Times New Roman"/>
          <w:sz w:val="28"/>
          <w:szCs w:val="28"/>
          <w:lang w:eastAsia="ru-RU"/>
        </w:rPr>
        <w:t>Таблица 1.2.1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28"/>
        <w:gridCol w:w="993"/>
        <w:gridCol w:w="992"/>
        <w:gridCol w:w="992"/>
        <w:gridCol w:w="1276"/>
        <w:gridCol w:w="851"/>
        <w:gridCol w:w="992"/>
      </w:tblGrid>
      <w:tr w:rsidR="00C24168" w:rsidRPr="001251C5" w:rsidTr="00C2416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к, %</w:t>
            </w:r>
          </w:p>
        </w:tc>
      </w:tr>
      <w:tr w:rsidR="00C24168" w:rsidRPr="001251C5" w:rsidTr="00C24168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1251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1251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1251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51C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1251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отраслям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DE">
              <w:rPr>
                <w:rFonts w:ascii="Times New Roman" w:eastAsia="Calibri" w:hAnsi="Times New Roman" w:cs="Times New Roman"/>
                <w:sz w:val="24"/>
                <w:szCs w:val="24"/>
              </w:rPr>
              <w:t>20448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21022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D9">
              <w:rPr>
                <w:rFonts w:ascii="Times New Roman" w:eastAsia="Calibri" w:hAnsi="Times New Roman" w:cs="Times New Roman"/>
                <w:sz w:val="24"/>
                <w:szCs w:val="24"/>
              </w:rPr>
              <w:t>21135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D3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D30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охота и лесное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обрабатывающие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lastRenderedPageBreak/>
              <w:t>1123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lastRenderedPageBreak/>
              <w:t>1149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lastRenderedPageBreak/>
              <w:t>1147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lastRenderedPageBreak/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lastRenderedPageBreak/>
              <w:t>99,8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оптовая, 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7949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8170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8195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10D30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30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с недвижимостью,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3267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3421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FE6CDE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DE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2D76D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D9"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A61E3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38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C24168" w:rsidRDefault="00C24168" w:rsidP="00016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4168" w:rsidRDefault="00C24168" w:rsidP="00016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554">
        <w:rPr>
          <w:rFonts w:ascii="Times New Roman" w:hAnsi="Times New Roman" w:cs="Times New Roman"/>
          <w:b/>
          <w:bCs/>
          <w:sz w:val="28"/>
          <w:szCs w:val="28"/>
        </w:rPr>
        <w:t>Крупнейшие предприятия муниципального образования город Новороссийск</w:t>
      </w:r>
    </w:p>
    <w:p w:rsidR="00016C8B" w:rsidRPr="005A16C3" w:rsidRDefault="00016C8B" w:rsidP="00016C8B">
      <w:pPr>
        <w:pStyle w:val="a3"/>
        <w:tabs>
          <w:tab w:val="left" w:pos="993"/>
        </w:tabs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6C3">
        <w:rPr>
          <w:rFonts w:ascii="Times New Roman" w:eastAsia="Times New Roman" w:hAnsi="Times New Roman"/>
          <w:sz w:val="28"/>
          <w:szCs w:val="28"/>
          <w:lang w:eastAsia="ru-RU"/>
        </w:rPr>
        <w:t>Таблица 1.2.1</w:t>
      </w:r>
    </w:p>
    <w:tbl>
      <w:tblPr>
        <w:tblW w:w="10054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3804"/>
        <w:gridCol w:w="2372"/>
        <w:gridCol w:w="3878"/>
      </w:tblGrid>
      <w:tr w:rsidR="00C24168" w:rsidRPr="00366554" w:rsidTr="00C24168">
        <w:trPr>
          <w:trHeight w:val="900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Вид деятельности (растениеводство, животноводство, пищевая промышленность и т.д.)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Тип продукции (молоко, зерновые, хлебобулочные изделия и т.д.)</w:t>
            </w:r>
          </w:p>
        </w:tc>
      </w:tr>
      <w:tr w:rsidR="00C24168" w:rsidRPr="00366554" w:rsidTr="00C24168">
        <w:trPr>
          <w:trHeight w:val="40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АО «Черномортранснефть»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C24168" w:rsidRPr="00366554" w:rsidTr="00C24168">
        <w:trPr>
          <w:trHeight w:val="40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«Каспийский трубопроводный консорциум – Р»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C24168" w:rsidRPr="00366554" w:rsidTr="00C24168">
        <w:trPr>
          <w:trHeight w:val="411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АО «Новорослесэкспорт»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Дополнительная и вспомогательная транспортная деятельность  </w:t>
            </w:r>
          </w:p>
        </w:tc>
      </w:tr>
      <w:tr w:rsidR="00C24168" w:rsidRPr="00366554" w:rsidTr="00C24168">
        <w:trPr>
          <w:trHeight w:val="417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 xml:space="preserve">АО «Флот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Новороссийского морского торгового порта</w:t>
            </w: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 </w:t>
            </w:r>
          </w:p>
        </w:tc>
      </w:tr>
      <w:tr w:rsidR="00C24168" w:rsidRPr="00366554" w:rsidTr="00C24168">
        <w:trPr>
          <w:trHeight w:val="4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ОАО «Новоросцемент»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производство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продуктов </w:t>
            </w:r>
          </w:p>
        </w:tc>
      </w:tr>
      <w:tr w:rsidR="00C24168" w:rsidRPr="00366554" w:rsidTr="00C24168">
        <w:trPr>
          <w:trHeight w:val="41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 xml:space="preserve">АО «Новороссийский комбинат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лебопродуктов»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 вспомогательная транспортная </w:t>
            </w:r>
            <w:r w:rsidRPr="0036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  </w:t>
            </w:r>
          </w:p>
        </w:tc>
      </w:tr>
      <w:tr w:rsidR="00C24168" w:rsidRPr="00366554" w:rsidTr="00C24168">
        <w:trPr>
          <w:trHeight w:val="393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АО «Новороссийский морской торговый порт»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прочих грузов </w:t>
            </w:r>
          </w:p>
        </w:tc>
      </w:tr>
      <w:tr w:rsidR="00C24168" w:rsidRPr="00366554" w:rsidTr="00C24168">
        <w:trPr>
          <w:trHeight w:val="413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АО «Новороссийский зерновой терминал»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транспорт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грузов </w:t>
            </w:r>
          </w:p>
        </w:tc>
      </w:tr>
      <w:tr w:rsidR="00C24168" w:rsidRPr="00366554" w:rsidTr="00C24168">
        <w:trPr>
          <w:trHeight w:val="40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ИПП</w:t>
            </w: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 транспорт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168" w:rsidRPr="00366554" w:rsidRDefault="00C24168" w:rsidP="00016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554"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прочих грузов  </w:t>
            </w:r>
          </w:p>
        </w:tc>
      </w:tr>
    </w:tbl>
    <w:p w:rsidR="00C24168" w:rsidRDefault="00C24168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объемов производства продукции, товаров, работ, услуг, финансовых результатов.</w:t>
      </w:r>
    </w:p>
    <w:p w:rsidR="00C24168" w:rsidRDefault="00C24168" w:rsidP="00016C8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 кругу крупных и средних предприятий)                    Таблица 1.3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36"/>
        <w:gridCol w:w="1418"/>
        <w:gridCol w:w="1559"/>
        <w:gridCol w:w="1417"/>
        <w:gridCol w:w="1418"/>
        <w:gridCol w:w="850"/>
        <w:gridCol w:w="851"/>
      </w:tblGrid>
      <w:tr w:rsidR="00C24168" w:rsidRPr="00621339" w:rsidTr="00C2416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621339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621339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621339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621339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C24168" w:rsidRPr="00621339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к, %</w:t>
            </w:r>
          </w:p>
        </w:tc>
      </w:tr>
      <w:tr w:rsidR="00C24168" w:rsidRPr="00621339" w:rsidTr="00C24168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Объем отгруженных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оваров собственного производств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40130440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44793018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46157083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47942100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Объем оказанных услуг предприятиями,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168239493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249323196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281556591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319186425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112,9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отраслям: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115654817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192300064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219011994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251401900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113,9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3157571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3163886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3318916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3435078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15399100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11544957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12950096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13675000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112,2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8256554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9089578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10121462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11627567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111,4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24145800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31311768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34098515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36882780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108,9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1113035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113,9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продукции сельского хозяйства, 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677051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942573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Сальдированный финансовый </w:t>
            </w: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хозяйствующих субъектов (прибыль минус убыток), 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-103162000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40505517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176193362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97269300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</w:tr>
      <w:tr w:rsidR="00C24168" w:rsidRPr="00621339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39">
              <w:rPr>
                <w:rFonts w:ascii="Times New Roman" w:eastAsia="Calibri" w:hAnsi="Times New Roman" w:cs="Times New Roman"/>
                <w:sz w:val="24"/>
                <w:szCs w:val="24"/>
              </w:rPr>
              <w:t>Индекс потребительских цен,%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621339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</w:tbl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26C3">
        <w:rPr>
          <w:rFonts w:ascii="Times New Roman" w:hAnsi="Times New Roman" w:cs="Times New Roman"/>
          <w:sz w:val="28"/>
          <w:szCs w:val="28"/>
        </w:rPr>
        <w:t>Муниципальное образование город Новороссийск является городом с многоотраслевой экономикой.</w:t>
      </w: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026" cy="3013544"/>
            <wp:effectExtent l="19050" t="0" r="10574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168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168" w:rsidRPr="00202A3E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9026C3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6C3">
        <w:rPr>
          <w:rFonts w:ascii="Times New Roman" w:hAnsi="Times New Roman" w:cs="Times New Roman"/>
          <w:sz w:val="28"/>
          <w:szCs w:val="28"/>
        </w:rPr>
        <w:t xml:space="preserve"> </w:t>
      </w:r>
      <w:r w:rsidRPr="00202A3E">
        <w:rPr>
          <w:rFonts w:ascii="Times New Roman" w:hAnsi="Times New Roman" w:cs="Times New Roman"/>
          <w:sz w:val="28"/>
          <w:szCs w:val="28"/>
        </w:rPr>
        <w:t>годах большинство направлений социально-экономического развития города показывают стабильные положительные результаты.</w:t>
      </w:r>
    </w:p>
    <w:p w:rsidR="00C24168" w:rsidRPr="00FF2EF5" w:rsidRDefault="00C24168" w:rsidP="00016C8B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EF5">
        <w:rPr>
          <w:rFonts w:ascii="Times New Roman" w:hAnsi="Times New Roman" w:cs="Times New Roman"/>
          <w:sz w:val="28"/>
          <w:szCs w:val="28"/>
        </w:rPr>
        <w:t>В 2016 году положительная динамика наблюдается во всех базовых отраслях экономики, за исключением «оптовой торговли», что обусловлено сокращением оптовой торговли алкогольной и спиртосодержащей продукцией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EF5">
        <w:rPr>
          <w:rFonts w:ascii="Times New Roman" w:hAnsi="Times New Roman" w:cs="Times New Roman"/>
          <w:sz w:val="28"/>
          <w:szCs w:val="28"/>
        </w:rPr>
        <w:t xml:space="preserve"> в связи с введением с 01 января 2016 го</w:t>
      </w:r>
      <w:r>
        <w:rPr>
          <w:rFonts w:ascii="Times New Roman" w:hAnsi="Times New Roman" w:cs="Times New Roman"/>
          <w:sz w:val="28"/>
          <w:szCs w:val="28"/>
        </w:rPr>
        <w:t xml:space="preserve">да для вышеуказанных организаций </w:t>
      </w:r>
      <w:r w:rsidRPr="00FF2EF5">
        <w:rPr>
          <w:rFonts w:ascii="Times New Roman" w:hAnsi="Times New Roman" w:cs="Times New Roman"/>
          <w:sz w:val="28"/>
          <w:szCs w:val="28"/>
        </w:rPr>
        <w:t xml:space="preserve"> необходимости обязательного подключения к системе ЕГАИС, в целях контроля за оборотом алкоголя, а также снижением объемов оптового товарооборота предприятий, осуществляющих оптовую реализацию бункеровочного топлива, в связи с падением цен на вышеуказанное топливо.</w:t>
      </w:r>
    </w:p>
    <w:p w:rsidR="00C24168" w:rsidRPr="00202A3E" w:rsidRDefault="00C24168" w:rsidP="00016C8B">
      <w:pPr>
        <w:pStyle w:val="aa"/>
        <w:ind w:firstLine="708"/>
        <w:jc w:val="both"/>
        <w:rPr>
          <w:b w:val="0"/>
        </w:rPr>
      </w:pPr>
      <w:r w:rsidRPr="00FF2EF5">
        <w:rPr>
          <w:b w:val="0"/>
          <w:szCs w:val="28"/>
        </w:rPr>
        <w:t>В целом по муниципальному образованию объем производства базовых</w:t>
      </w:r>
      <w:r w:rsidRPr="00202A3E">
        <w:rPr>
          <w:b w:val="0"/>
        </w:rPr>
        <w:t xml:space="preserve"> о</w:t>
      </w:r>
      <w:r>
        <w:rPr>
          <w:b w:val="0"/>
        </w:rPr>
        <w:t>траслей экономики с 2014 по 2016 год увеличился  с</w:t>
      </w:r>
      <w:r w:rsidRPr="00202A3E">
        <w:rPr>
          <w:b w:val="0"/>
        </w:rPr>
        <w:t xml:space="preserve"> </w:t>
      </w:r>
      <w:r>
        <w:rPr>
          <w:b w:val="0"/>
        </w:rPr>
        <w:t>273,7</w:t>
      </w:r>
      <w:r w:rsidRPr="00202A3E">
        <w:rPr>
          <w:b w:val="0"/>
        </w:rPr>
        <w:t xml:space="preserve"> млрд. рублей до </w:t>
      </w:r>
      <w:r>
        <w:rPr>
          <w:b w:val="0"/>
        </w:rPr>
        <w:t>392,2</w:t>
      </w:r>
      <w:r w:rsidRPr="00202A3E">
        <w:rPr>
          <w:b w:val="0"/>
        </w:rPr>
        <w:t xml:space="preserve"> млрд. рублей. Темп роста составил </w:t>
      </w:r>
      <w:r>
        <w:rPr>
          <w:b w:val="0"/>
        </w:rPr>
        <w:t>143,3</w:t>
      </w:r>
      <w:r w:rsidRPr="00202A3E">
        <w:rPr>
          <w:b w:val="0"/>
        </w:rPr>
        <w:t xml:space="preserve">%. 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</w:rPr>
      </w:pPr>
      <w:r w:rsidRPr="00202A3E">
        <w:rPr>
          <w:b w:val="0"/>
        </w:rPr>
        <w:t xml:space="preserve">Основой городской экономики и наиболее эффективным её сектором является транспортный комплекс, который обеспечивает работой более </w:t>
      </w:r>
      <w:r w:rsidRPr="00202A3E">
        <w:rPr>
          <w:b w:val="0"/>
        </w:rPr>
        <w:lastRenderedPageBreak/>
        <w:t>четверти трудоспособного населения города, а налоговые отчисления предприятий отрасли формируют основу бюджета города.</w:t>
      </w:r>
      <w:r>
        <w:rPr>
          <w:b w:val="0"/>
        </w:rPr>
        <w:t xml:space="preserve"> Город Новороссийск – крупнейший транспортный узел страны.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</w:rPr>
      </w:pPr>
      <w:r w:rsidRPr="00202A3E">
        <w:rPr>
          <w:b w:val="0"/>
        </w:rPr>
        <w:t xml:space="preserve">Доля совокупного объема услуг предприятий транспортного комплекса составляет </w:t>
      </w:r>
      <w:r>
        <w:rPr>
          <w:b w:val="0"/>
        </w:rPr>
        <w:t>55,8</w:t>
      </w:r>
      <w:r w:rsidRPr="00202A3E">
        <w:rPr>
          <w:b w:val="0"/>
        </w:rPr>
        <w:t xml:space="preserve">% объемов базовых отраслей экономики в целом по городу. </w:t>
      </w:r>
    </w:p>
    <w:p w:rsidR="00C24168" w:rsidRPr="00202A3E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3E">
        <w:rPr>
          <w:rFonts w:ascii="Times New Roman" w:hAnsi="Times New Roman" w:cs="Times New Roman"/>
          <w:sz w:val="28"/>
          <w:szCs w:val="28"/>
        </w:rPr>
        <w:t xml:space="preserve">Транспортный комплекс города включает в себя </w:t>
      </w:r>
      <w:r>
        <w:rPr>
          <w:rFonts w:ascii="Times New Roman" w:hAnsi="Times New Roman" w:cs="Times New Roman"/>
          <w:sz w:val="28"/>
          <w:szCs w:val="28"/>
        </w:rPr>
        <w:t>1477</w:t>
      </w:r>
      <w:r w:rsidRPr="00202A3E">
        <w:rPr>
          <w:rFonts w:ascii="Times New Roman" w:hAnsi="Times New Roman" w:cs="Times New Roman"/>
          <w:sz w:val="28"/>
          <w:szCs w:val="28"/>
        </w:rPr>
        <w:t xml:space="preserve"> предприятий, из которых такие предприятия,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2A3E">
        <w:rPr>
          <w:rFonts w:ascii="Times New Roman" w:hAnsi="Times New Roman" w:cs="Times New Roman"/>
          <w:sz w:val="28"/>
          <w:szCs w:val="28"/>
        </w:rPr>
        <w:t>АО «Новороссийский морской торговый порт»</w:t>
      </w:r>
      <w:r>
        <w:rPr>
          <w:rFonts w:ascii="Times New Roman" w:hAnsi="Times New Roman" w:cs="Times New Roman"/>
          <w:sz w:val="28"/>
          <w:szCs w:val="28"/>
        </w:rPr>
        <w:t xml:space="preserve"> (доля в объеме услуг крупных и средних предприятий транспортного комплекса – 12,1%)  , </w:t>
      </w:r>
      <w:r w:rsidRPr="00202A3E">
        <w:rPr>
          <w:rFonts w:ascii="Times New Roman" w:hAnsi="Times New Roman" w:cs="Times New Roman"/>
          <w:sz w:val="28"/>
          <w:szCs w:val="28"/>
        </w:rPr>
        <w:t>АО «Черномортранснефть»</w:t>
      </w:r>
      <w:r>
        <w:rPr>
          <w:rFonts w:ascii="Times New Roman" w:hAnsi="Times New Roman" w:cs="Times New Roman"/>
          <w:sz w:val="28"/>
          <w:szCs w:val="28"/>
        </w:rPr>
        <w:t xml:space="preserve"> (23,6%), </w:t>
      </w:r>
      <w:r w:rsidRPr="00202A3E">
        <w:rPr>
          <w:rFonts w:ascii="Times New Roman" w:hAnsi="Times New Roman" w:cs="Times New Roman"/>
          <w:sz w:val="28"/>
          <w:szCs w:val="28"/>
        </w:rPr>
        <w:t>АО «КТК-Р»</w:t>
      </w:r>
      <w:r>
        <w:rPr>
          <w:rFonts w:ascii="Times New Roman" w:hAnsi="Times New Roman" w:cs="Times New Roman"/>
          <w:sz w:val="28"/>
          <w:szCs w:val="28"/>
        </w:rPr>
        <w:t xml:space="preserve"> (39,1%)</w:t>
      </w:r>
      <w:r w:rsidRPr="00202A3E">
        <w:rPr>
          <w:rFonts w:ascii="Times New Roman" w:hAnsi="Times New Roman" w:cs="Times New Roman"/>
          <w:sz w:val="28"/>
          <w:szCs w:val="28"/>
        </w:rPr>
        <w:t>, ОАО «Новорослесэкспорт»</w:t>
      </w:r>
      <w:r>
        <w:rPr>
          <w:rFonts w:ascii="Times New Roman" w:hAnsi="Times New Roman" w:cs="Times New Roman"/>
          <w:sz w:val="28"/>
          <w:szCs w:val="28"/>
        </w:rPr>
        <w:t xml:space="preserve"> (2,0%)</w:t>
      </w:r>
      <w:r w:rsidRPr="00202A3E">
        <w:rPr>
          <w:rFonts w:ascii="Times New Roman" w:hAnsi="Times New Roman" w:cs="Times New Roman"/>
          <w:sz w:val="28"/>
          <w:szCs w:val="28"/>
        </w:rPr>
        <w:t>, ОАО «ИПП»</w:t>
      </w:r>
      <w:r>
        <w:rPr>
          <w:rFonts w:ascii="Times New Roman" w:hAnsi="Times New Roman" w:cs="Times New Roman"/>
          <w:sz w:val="28"/>
          <w:szCs w:val="28"/>
        </w:rPr>
        <w:t xml:space="preserve"> (1,2%), </w:t>
      </w:r>
      <w:r w:rsidRPr="00202A3E">
        <w:rPr>
          <w:rFonts w:ascii="Times New Roman" w:hAnsi="Times New Roman" w:cs="Times New Roman"/>
          <w:sz w:val="28"/>
          <w:szCs w:val="28"/>
        </w:rPr>
        <w:t>АО «Новороссийский зерновой терминал»</w:t>
      </w:r>
      <w:r>
        <w:rPr>
          <w:rFonts w:ascii="Times New Roman" w:hAnsi="Times New Roman" w:cs="Times New Roman"/>
          <w:sz w:val="28"/>
          <w:szCs w:val="28"/>
        </w:rPr>
        <w:t xml:space="preserve"> (1,5%), ООО «Новороссийский мазутный терминал» (2,6%) </w:t>
      </w:r>
      <w:r w:rsidRPr="00202A3E">
        <w:rPr>
          <w:rFonts w:ascii="Times New Roman" w:hAnsi="Times New Roman" w:cs="Times New Roman"/>
          <w:sz w:val="28"/>
          <w:szCs w:val="28"/>
        </w:rPr>
        <w:t xml:space="preserve"> и ряд других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через Новороссийск одну треть всех стратегических товарно-экспортных перевозок и </w:t>
      </w:r>
      <w:r w:rsidRPr="00202A3E">
        <w:rPr>
          <w:rFonts w:ascii="Times New Roman" w:hAnsi="Times New Roman" w:cs="Times New Roman"/>
          <w:sz w:val="28"/>
          <w:szCs w:val="28"/>
        </w:rPr>
        <w:t>являются бюджетообразующими для города и края.</w:t>
      </w:r>
    </w:p>
    <w:p w:rsidR="00C24168" w:rsidRDefault="00C24168" w:rsidP="00016C8B">
      <w:pPr>
        <w:pStyle w:val="aa"/>
        <w:ind w:firstLine="708"/>
        <w:jc w:val="both"/>
        <w:rPr>
          <w:b w:val="0"/>
        </w:rPr>
      </w:pPr>
      <w:r>
        <w:rPr>
          <w:b w:val="0"/>
        </w:rPr>
        <w:t>За 2014</w:t>
      </w:r>
      <w:r w:rsidRPr="00202A3E">
        <w:rPr>
          <w:b w:val="0"/>
        </w:rPr>
        <w:t xml:space="preserve"> - 201</w:t>
      </w:r>
      <w:r>
        <w:rPr>
          <w:b w:val="0"/>
        </w:rPr>
        <w:t>6</w:t>
      </w:r>
      <w:r w:rsidRPr="00202A3E">
        <w:rPr>
          <w:b w:val="0"/>
        </w:rPr>
        <w:t xml:space="preserve"> годы объем услуг транспортного комплекса возрос с</w:t>
      </w:r>
      <w:r>
        <w:rPr>
          <w:b w:val="0"/>
        </w:rPr>
        <w:t>о</w:t>
      </w:r>
      <w:r w:rsidRPr="00202A3E">
        <w:rPr>
          <w:b w:val="0"/>
        </w:rPr>
        <w:t xml:space="preserve"> </w:t>
      </w:r>
      <w:r>
        <w:rPr>
          <w:b w:val="0"/>
        </w:rPr>
        <w:t>115,7</w:t>
      </w:r>
      <w:r w:rsidRPr="00202A3E">
        <w:rPr>
          <w:b w:val="0"/>
        </w:rPr>
        <w:t xml:space="preserve"> млрд. рублей до </w:t>
      </w:r>
      <w:r>
        <w:rPr>
          <w:b w:val="0"/>
        </w:rPr>
        <w:t>219,0</w:t>
      </w:r>
      <w:r w:rsidRPr="00202A3E">
        <w:rPr>
          <w:b w:val="0"/>
        </w:rPr>
        <w:t xml:space="preserve"> млрд. рублей</w:t>
      </w:r>
      <w:r>
        <w:rPr>
          <w:b w:val="0"/>
        </w:rPr>
        <w:t xml:space="preserve"> или в 1,9 раза</w:t>
      </w:r>
      <w:r w:rsidRPr="00202A3E">
        <w:rPr>
          <w:b w:val="0"/>
        </w:rPr>
        <w:t>.</w:t>
      </w:r>
    </w:p>
    <w:p w:rsidR="00C24168" w:rsidRDefault="00C24168" w:rsidP="00016C8B">
      <w:pPr>
        <w:pStyle w:val="aa"/>
        <w:ind w:firstLine="708"/>
        <w:jc w:val="both"/>
        <w:rPr>
          <w:b w:val="0"/>
        </w:rPr>
      </w:pPr>
      <w:r>
        <w:rPr>
          <w:b w:val="0"/>
        </w:rPr>
        <w:t xml:space="preserve">Рост обеспечен, прежде всего, увеличением объемов отгрузки трубопроводным транспортом за счет расширения мощностей нефтепроводной системы с 28,2 млн. тонн нефти в год до 67 млн. тонн нефти в год АО «КТК-Р» (выход на проектную мощность перекачки нефти планируется во второй половине 2017 года), увеличением объемов перевалки нефти и нефтепродуктов АО «Черномортранснефть» за счет проводимой общей реконструкции предприятия. </w:t>
      </w:r>
    </w:p>
    <w:p w:rsidR="00C24168" w:rsidRPr="00721C24" w:rsidRDefault="00C24168" w:rsidP="00016C8B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721C24">
        <w:rPr>
          <w:rFonts w:ascii="Times New Roman" w:hAnsi="Times New Roman" w:cs="Times New Roman"/>
          <w:sz w:val="28"/>
          <w:szCs w:val="28"/>
        </w:rPr>
        <w:t xml:space="preserve">Кроме того, рост обеспечен увеличением объемов грузооборота Группы НМТП (в состав группы входят: </w:t>
      </w:r>
      <w:r w:rsidRPr="0001307E">
        <w:rPr>
          <w:rFonts w:ascii="Times New Roman" w:hAnsi="Times New Roman"/>
          <w:sz w:val="28"/>
          <w:szCs w:val="28"/>
        </w:rPr>
        <w:t>ПАО «Новороссийский морской торговый порт»</w:t>
      </w:r>
      <w:r w:rsidRPr="009D4383">
        <w:rPr>
          <w:rFonts w:ascii="Times New Roman" w:hAnsi="Times New Roman"/>
          <w:sz w:val="30"/>
          <w:szCs w:val="30"/>
        </w:rPr>
        <w:t xml:space="preserve">, </w:t>
      </w:r>
      <w:r w:rsidRPr="009D4383">
        <w:rPr>
          <w:rFonts w:ascii="Times New Roman" w:hAnsi="Times New Roman"/>
          <w:sz w:val="28"/>
          <w:szCs w:val="28"/>
        </w:rPr>
        <w:t>АО «Новорослесэкспорт»,</w:t>
      </w:r>
      <w:r w:rsidRPr="009D4383">
        <w:rPr>
          <w:rFonts w:ascii="Times New Roman" w:hAnsi="Times New Roman"/>
          <w:sz w:val="30"/>
          <w:szCs w:val="30"/>
        </w:rPr>
        <w:t xml:space="preserve"> </w:t>
      </w:r>
      <w:r w:rsidRPr="009D4383">
        <w:rPr>
          <w:rFonts w:ascii="Times New Roman" w:hAnsi="Times New Roman"/>
          <w:sz w:val="28"/>
          <w:szCs w:val="28"/>
        </w:rPr>
        <w:t>ОАО «Новороссийский судоремонтный завод»,</w:t>
      </w:r>
      <w:r w:rsidRPr="009D43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ОАО «ИПП», </w:t>
      </w:r>
      <w:r w:rsidRPr="009D4383">
        <w:rPr>
          <w:rFonts w:ascii="Times New Roman" w:hAnsi="Times New Roman"/>
          <w:sz w:val="28"/>
          <w:szCs w:val="28"/>
        </w:rPr>
        <w:t>АО «Флот Новороссийск</w:t>
      </w:r>
      <w:r>
        <w:rPr>
          <w:rFonts w:ascii="Times New Roman" w:hAnsi="Times New Roman"/>
          <w:sz w:val="28"/>
          <w:szCs w:val="28"/>
        </w:rPr>
        <w:t xml:space="preserve">ого морского торгового порта», </w:t>
      </w:r>
      <w:r w:rsidRPr="009D4383">
        <w:rPr>
          <w:rFonts w:ascii="Times New Roman" w:hAnsi="Times New Roman"/>
          <w:sz w:val="28"/>
          <w:szCs w:val="28"/>
        </w:rPr>
        <w:t>АО «Новороссийский зерновой терминал» ООО «Новороссийский мазутный терминал»)</w:t>
      </w:r>
      <w:r>
        <w:rPr>
          <w:rFonts w:ascii="Times New Roman" w:hAnsi="Times New Roman"/>
          <w:sz w:val="28"/>
          <w:szCs w:val="28"/>
        </w:rPr>
        <w:t>. По объему грузооборота Группа НМТП является третьим оператором в Европе и лидером на российском рынке. За период 2014-2016 годов грузооборот Группы НМТП возрос со 121,7 млн. тонн до 133,4 млн. тонн. Темп роста составил 109,6%.</w:t>
      </w:r>
    </w:p>
    <w:p w:rsidR="00C24168" w:rsidRPr="00202A3E" w:rsidRDefault="00C24168" w:rsidP="00016C8B">
      <w:pPr>
        <w:pStyle w:val="aa"/>
        <w:ind w:firstLine="708"/>
        <w:jc w:val="both"/>
        <w:rPr>
          <w:b w:val="0"/>
        </w:rPr>
      </w:pPr>
      <w:r>
        <w:rPr>
          <w:b w:val="0"/>
        </w:rPr>
        <w:t>Кроме транспортного потенциала, муниципальное образование город Новороссийск имеет значительный промышленный потенциал.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</w:rPr>
      </w:pPr>
      <w:r w:rsidRPr="00202A3E">
        <w:rPr>
          <w:b w:val="0"/>
        </w:rPr>
        <w:t xml:space="preserve">В общем объеме выпускаемой продукции, работ и услуг доля промышленного производства составляет </w:t>
      </w:r>
      <w:r>
        <w:rPr>
          <w:b w:val="0"/>
        </w:rPr>
        <w:t>около</w:t>
      </w:r>
      <w:r w:rsidRPr="00202A3E">
        <w:rPr>
          <w:b w:val="0"/>
        </w:rPr>
        <w:t xml:space="preserve"> 1</w:t>
      </w:r>
      <w:r>
        <w:rPr>
          <w:b w:val="0"/>
        </w:rPr>
        <w:t>2</w:t>
      </w:r>
      <w:r w:rsidRPr="00202A3E">
        <w:rPr>
          <w:b w:val="0"/>
        </w:rPr>
        <w:t>%.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  <w:szCs w:val="28"/>
        </w:rPr>
      </w:pPr>
      <w:r w:rsidRPr="00202A3E">
        <w:rPr>
          <w:b w:val="0"/>
          <w:szCs w:val="28"/>
        </w:rPr>
        <w:t>Промышленный комплекс города Новороссийска представлен следующими видами производств: обрабатывающие (</w:t>
      </w:r>
      <w:r>
        <w:rPr>
          <w:b w:val="0"/>
          <w:szCs w:val="28"/>
        </w:rPr>
        <w:t>94,9</w:t>
      </w:r>
      <w:r w:rsidRPr="00202A3E">
        <w:rPr>
          <w:b w:val="0"/>
          <w:szCs w:val="28"/>
        </w:rPr>
        <w:t>% от всего объема отгрузки</w:t>
      </w:r>
      <w:r>
        <w:rPr>
          <w:b w:val="0"/>
          <w:szCs w:val="28"/>
        </w:rPr>
        <w:t xml:space="preserve"> крупных и средних промышленных предприятий</w:t>
      </w:r>
      <w:r w:rsidRPr="00202A3E">
        <w:rPr>
          <w:b w:val="0"/>
          <w:szCs w:val="28"/>
        </w:rPr>
        <w:t>) и производство, распределение электроэнергии, воды, газа (</w:t>
      </w:r>
      <w:r>
        <w:rPr>
          <w:b w:val="0"/>
          <w:szCs w:val="28"/>
        </w:rPr>
        <w:t>5,0%), добыча полезных ископаемых (0,1%)</w:t>
      </w:r>
      <w:r w:rsidRPr="00202A3E">
        <w:rPr>
          <w:b w:val="0"/>
          <w:szCs w:val="28"/>
        </w:rPr>
        <w:t xml:space="preserve"> В свою очередь обрабатывающие производства представлены тремя базовыми отраслями: промышленность стройматериалов, машиностроение и металлообработка, пищевая и перерабатывающая промышленность, совокупный удельный вес которых составляет </w:t>
      </w:r>
      <w:r>
        <w:rPr>
          <w:b w:val="0"/>
          <w:szCs w:val="28"/>
        </w:rPr>
        <w:t>90,9</w:t>
      </w:r>
      <w:r w:rsidRPr="00202A3E">
        <w:rPr>
          <w:b w:val="0"/>
          <w:szCs w:val="28"/>
        </w:rPr>
        <w:t xml:space="preserve"> % от общего объема </w:t>
      </w:r>
      <w:r>
        <w:rPr>
          <w:b w:val="0"/>
          <w:szCs w:val="28"/>
        </w:rPr>
        <w:t>обрабатывающих производств</w:t>
      </w:r>
      <w:r w:rsidRPr="00202A3E">
        <w:rPr>
          <w:b w:val="0"/>
          <w:szCs w:val="28"/>
        </w:rPr>
        <w:t>: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  <w:szCs w:val="28"/>
        </w:rPr>
      </w:pPr>
      <w:r w:rsidRPr="00202A3E">
        <w:rPr>
          <w:b w:val="0"/>
          <w:szCs w:val="28"/>
        </w:rPr>
        <w:lastRenderedPageBreak/>
        <w:t>-</w:t>
      </w:r>
      <w:r w:rsidRPr="00202A3E">
        <w:rPr>
          <w:b w:val="0"/>
          <w:szCs w:val="28"/>
        </w:rPr>
        <w:tab/>
        <w:t xml:space="preserve">промышленность стройматериалов – </w:t>
      </w:r>
      <w:r>
        <w:rPr>
          <w:b w:val="0"/>
          <w:szCs w:val="28"/>
        </w:rPr>
        <w:t>46,4,0</w:t>
      </w:r>
      <w:r w:rsidRPr="00202A3E">
        <w:rPr>
          <w:b w:val="0"/>
          <w:szCs w:val="28"/>
        </w:rPr>
        <w:t>% (крупнейшие предприятия: ОАО «Новоросцемент», ОАО «Верхнебаканский цемзавод», ООО «Атакайцемент»);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  <w:szCs w:val="28"/>
        </w:rPr>
      </w:pPr>
      <w:r w:rsidRPr="00202A3E">
        <w:rPr>
          <w:b w:val="0"/>
          <w:szCs w:val="28"/>
        </w:rPr>
        <w:t>-</w:t>
      </w:r>
      <w:r w:rsidRPr="00202A3E">
        <w:rPr>
          <w:b w:val="0"/>
          <w:szCs w:val="28"/>
        </w:rPr>
        <w:tab/>
        <w:t xml:space="preserve">машиностроение и металлообработка – </w:t>
      </w:r>
      <w:r>
        <w:rPr>
          <w:b w:val="0"/>
          <w:szCs w:val="28"/>
        </w:rPr>
        <w:t>27,5</w:t>
      </w:r>
      <w:r w:rsidRPr="00202A3E">
        <w:rPr>
          <w:b w:val="0"/>
          <w:szCs w:val="28"/>
        </w:rPr>
        <w:t>% (крупнейшие предприятия: ОАО «Новороссийский судоремонтный завод», Новороссийский вагоноремонт</w:t>
      </w:r>
      <w:r>
        <w:rPr>
          <w:b w:val="0"/>
          <w:szCs w:val="28"/>
        </w:rPr>
        <w:t>ный завод, ООО «Новоросметалл»);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  <w:szCs w:val="28"/>
        </w:rPr>
      </w:pPr>
      <w:r w:rsidRPr="00202A3E">
        <w:rPr>
          <w:b w:val="0"/>
          <w:szCs w:val="28"/>
        </w:rPr>
        <w:t>-</w:t>
      </w:r>
      <w:r w:rsidRPr="00202A3E">
        <w:rPr>
          <w:b w:val="0"/>
          <w:szCs w:val="28"/>
        </w:rPr>
        <w:tab/>
        <w:t xml:space="preserve">пищевая и перерабатывающая промышленность – </w:t>
      </w:r>
      <w:r>
        <w:rPr>
          <w:b w:val="0"/>
          <w:szCs w:val="28"/>
        </w:rPr>
        <w:t>17,0</w:t>
      </w:r>
      <w:r w:rsidRPr="00202A3E">
        <w:rPr>
          <w:b w:val="0"/>
          <w:szCs w:val="28"/>
        </w:rPr>
        <w:t>% (крупнейшие предприятия: ЗАО «Пино», ЗАО «</w:t>
      </w:r>
      <w:r>
        <w:rPr>
          <w:b w:val="0"/>
          <w:szCs w:val="28"/>
        </w:rPr>
        <w:t>Мясокомбинат «Новороссийский», П</w:t>
      </w:r>
      <w:r w:rsidRPr="00202A3E">
        <w:rPr>
          <w:b w:val="0"/>
          <w:szCs w:val="28"/>
        </w:rPr>
        <w:t>АО «Новороссийский комбинат хле</w:t>
      </w:r>
      <w:r>
        <w:rPr>
          <w:b w:val="0"/>
          <w:szCs w:val="28"/>
        </w:rPr>
        <w:t>бопродуктов», ЗАО «Абрау-Дюрсо»</w:t>
      </w:r>
      <w:r w:rsidRPr="00202A3E">
        <w:rPr>
          <w:b w:val="0"/>
          <w:szCs w:val="28"/>
        </w:rPr>
        <w:t>).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  <w:szCs w:val="28"/>
        </w:rPr>
      </w:pPr>
      <w:r w:rsidRPr="00202A3E">
        <w:rPr>
          <w:b w:val="0"/>
          <w:szCs w:val="28"/>
        </w:rPr>
        <w:t xml:space="preserve">Доля остальных отраслей </w:t>
      </w:r>
      <w:r>
        <w:rPr>
          <w:b w:val="0"/>
          <w:szCs w:val="28"/>
        </w:rPr>
        <w:t>в обрабатывающих производствах</w:t>
      </w:r>
      <w:r w:rsidRPr="00202A3E">
        <w:rPr>
          <w:b w:val="0"/>
          <w:szCs w:val="28"/>
        </w:rPr>
        <w:t>, таких, легкая и полиграфическая промышленность</w:t>
      </w:r>
      <w:r>
        <w:rPr>
          <w:b w:val="0"/>
          <w:szCs w:val="28"/>
        </w:rPr>
        <w:t>, химическая промышленность</w:t>
      </w:r>
      <w:r w:rsidRPr="00202A3E">
        <w:rPr>
          <w:b w:val="0"/>
          <w:szCs w:val="28"/>
        </w:rPr>
        <w:t xml:space="preserve"> составляет </w:t>
      </w:r>
      <w:r>
        <w:rPr>
          <w:b w:val="0"/>
          <w:szCs w:val="28"/>
        </w:rPr>
        <w:t>9,1</w:t>
      </w:r>
      <w:r w:rsidRPr="00202A3E">
        <w:rPr>
          <w:b w:val="0"/>
          <w:szCs w:val="28"/>
        </w:rPr>
        <w:t>%.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</w:rPr>
      </w:pPr>
      <w:r w:rsidRPr="00202A3E">
        <w:rPr>
          <w:b w:val="0"/>
          <w:szCs w:val="28"/>
        </w:rPr>
        <w:t xml:space="preserve">Всего в городе Новороссийске насчитывается </w:t>
      </w:r>
      <w:r>
        <w:rPr>
          <w:b w:val="0"/>
          <w:szCs w:val="28"/>
        </w:rPr>
        <w:t>651</w:t>
      </w:r>
      <w:r w:rsidRPr="00202A3E">
        <w:rPr>
          <w:b w:val="0"/>
          <w:szCs w:val="28"/>
        </w:rPr>
        <w:t xml:space="preserve"> промышленн</w:t>
      </w:r>
      <w:r>
        <w:rPr>
          <w:b w:val="0"/>
          <w:szCs w:val="28"/>
        </w:rPr>
        <w:t>ое предприятие</w:t>
      </w:r>
      <w:r w:rsidRPr="00202A3E">
        <w:rPr>
          <w:b w:val="0"/>
          <w:szCs w:val="28"/>
        </w:rPr>
        <w:t xml:space="preserve">, в </w:t>
      </w:r>
      <w:r>
        <w:rPr>
          <w:b w:val="0"/>
          <w:szCs w:val="28"/>
        </w:rPr>
        <w:t>том числе крупных и средних – 20</w:t>
      </w:r>
      <w:r w:rsidRPr="00202A3E">
        <w:rPr>
          <w:b w:val="0"/>
          <w:szCs w:val="28"/>
        </w:rPr>
        <w:t>.</w:t>
      </w:r>
    </w:p>
    <w:p w:rsidR="00C24168" w:rsidRPr="00202A3E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За 3</w:t>
      </w:r>
      <w:r w:rsidRPr="00202A3E">
        <w:rPr>
          <w:b w:val="0"/>
        </w:rPr>
        <w:t xml:space="preserve"> </w:t>
      </w:r>
      <w:r>
        <w:rPr>
          <w:b w:val="0"/>
        </w:rPr>
        <w:t>года</w:t>
      </w:r>
      <w:r w:rsidRPr="00202A3E">
        <w:rPr>
          <w:b w:val="0"/>
        </w:rPr>
        <w:t xml:space="preserve"> выпущено промышленной продукции, оказано услуг промышленного характера на сумму </w:t>
      </w:r>
      <w:r>
        <w:rPr>
          <w:b w:val="0"/>
        </w:rPr>
        <w:t>131,1</w:t>
      </w:r>
      <w:r w:rsidRPr="00202A3E">
        <w:rPr>
          <w:b w:val="0"/>
        </w:rPr>
        <w:t xml:space="preserve"> млрд. рублей. За </w:t>
      </w:r>
      <w:r>
        <w:rPr>
          <w:b w:val="0"/>
        </w:rPr>
        <w:t>2016</w:t>
      </w:r>
      <w:r w:rsidRPr="00202A3E">
        <w:rPr>
          <w:b w:val="0"/>
        </w:rPr>
        <w:t xml:space="preserve"> год объем производства промышленной продукции, выполненных работ (услуг) промышленного характера составил </w:t>
      </w:r>
      <w:r>
        <w:rPr>
          <w:b w:val="0"/>
        </w:rPr>
        <w:t>46,2</w:t>
      </w:r>
      <w:r w:rsidRPr="00202A3E">
        <w:rPr>
          <w:b w:val="0"/>
        </w:rPr>
        <w:t xml:space="preserve"> млрд. рублей. Темп роста к  20</w:t>
      </w:r>
      <w:r>
        <w:rPr>
          <w:b w:val="0"/>
        </w:rPr>
        <w:t>14</w:t>
      </w:r>
      <w:r w:rsidRPr="00202A3E">
        <w:rPr>
          <w:b w:val="0"/>
        </w:rPr>
        <w:t xml:space="preserve"> году составляет  </w:t>
      </w:r>
      <w:r>
        <w:rPr>
          <w:b w:val="0"/>
        </w:rPr>
        <w:t>115,0</w:t>
      </w:r>
      <w:r w:rsidRPr="00202A3E">
        <w:rPr>
          <w:b w:val="0"/>
        </w:rPr>
        <w:t>%.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 w:rsidRPr="00202A3E">
        <w:rPr>
          <w:b w:val="0"/>
        </w:rPr>
        <w:t>Наибо</w:t>
      </w:r>
      <w:r>
        <w:rPr>
          <w:b w:val="0"/>
        </w:rPr>
        <w:t>лее высокими темпами в 2014-2016</w:t>
      </w:r>
      <w:r w:rsidRPr="00202A3E">
        <w:rPr>
          <w:b w:val="0"/>
        </w:rPr>
        <w:t xml:space="preserve"> годах в городе развивались, промышленность строительных материалов</w:t>
      </w:r>
      <w:r>
        <w:rPr>
          <w:b w:val="0"/>
        </w:rPr>
        <w:t xml:space="preserve"> (темп роста 2016 к 2014 году составил 109,1%)</w:t>
      </w:r>
      <w:r w:rsidRPr="00202A3E">
        <w:rPr>
          <w:b w:val="0"/>
        </w:rPr>
        <w:t xml:space="preserve">, </w:t>
      </w:r>
      <w:r>
        <w:rPr>
          <w:b w:val="0"/>
        </w:rPr>
        <w:t xml:space="preserve">машиностроительная и </w:t>
      </w:r>
      <w:r w:rsidRPr="00202A3E">
        <w:rPr>
          <w:b w:val="0"/>
        </w:rPr>
        <w:t>металлообрабатывающая</w:t>
      </w:r>
      <w:r>
        <w:rPr>
          <w:b w:val="0"/>
        </w:rPr>
        <w:t xml:space="preserve"> промышленность (темп роста – 107,8%), пищевая промышленность (темп роста – 125,0%), обувная промышленность (темп роста – 141,0%), целлюлозно-бумажная и полиграфическая промышленность (темп роста – 119,4%).</w:t>
      </w:r>
    </w:p>
    <w:p w:rsidR="00C24168" w:rsidRPr="000571CA" w:rsidRDefault="00C24168" w:rsidP="00016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1CA">
        <w:rPr>
          <w:rFonts w:ascii="Times New Roman" w:hAnsi="Times New Roman" w:cs="Times New Roman"/>
          <w:sz w:val="28"/>
          <w:szCs w:val="28"/>
        </w:rPr>
        <w:t xml:space="preserve">Снижение объемов отгрузки на 5,2% отмечено в машиностроительной промышленности (производстве транспортных средств и оборудования). Снижение обусловлено дальнейшим сокращением объемов судоремонта на Новороссийском судоремонтном заводе (в настоящее время предприятие входит в Группу НМТП и имеет основной вид деятельности - перевалку грузов), а также снижением объемов услуг по ремонту железнодорожного подвижного состава Новороссийским вагоноремонтным заводом в результате снижения объемов заказов.  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В производстве главнейших видов производимой продукции за период 2014-2016 годов отмечена следующая динамика: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цемент – -13,2%,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стальная литая заготовка – -3,6%,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обувь – -26,3%,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хлеб и хлебобулочные изделия – -0,2%,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кондитерские изделия – -30,7%,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колбасные изделия – -12,6%,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мясо и субпродукты пищевые домашней птицы – -39,2%,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t>- пиво – -18,0%,</w:t>
      </w:r>
    </w:p>
    <w:p w:rsidR="00C24168" w:rsidRDefault="00C24168" w:rsidP="00016C8B">
      <w:pPr>
        <w:pStyle w:val="aa"/>
        <w:ind w:firstLine="709"/>
        <w:jc w:val="both"/>
        <w:rPr>
          <w:b w:val="0"/>
        </w:rPr>
      </w:pPr>
      <w:r>
        <w:rPr>
          <w:b w:val="0"/>
        </w:rPr>
        <w:lastRenderedPageBreak/>
        <w:t>- вина шампанские и игристые – -6,2%.</w:t>
      </w:r>
    </w:p>
    <w:p w:rsidR="00C24168" w:rsidRPr="003933F4" w:rsidRDefault="00C24168" w:rsidP="00016C8B">
      <w:pPr>
        <w:pStyle w:val="aa"/>
        <w:ind w:firstLine="720"/>
        <w:jc w:val="both"/>
        <w:rPr>
          <w:b w:val="0"/>
          <w:szCs w:val="28"/>
        </w:rPr>
      </w:pPr>
      <w:r w:rsidRPr="003933F4">
        <w:rPr>
          <w:b w:val="0"/>
          <w:szCs w:val="28"/>
        </w:rPr>
        <w:t>Снижение объемов производства связано с падением потребительского спроса населения в результате падения реальных доходов, действием ответных экономических санкции со стороны России, высокой конкуренцией среди производителей, накоплением товарных запасов на пр</w:t>
      </w:r>
      <w:r>
        <w:rPr>
          <w:b w:val="0"/>
          <w:szCs w:val="28"/>
        </w:rPr>
        <w:t>едприятия, ужесточением антиалкогольного законодательства</w:t>
      </w:r>
      <w:r w:rsidRPr="003933F4">
        <w:rPr>
          <w:b w:val="0"/>
          <w:szCs w:val="28"/>
        </w:rPr>
        <w:t xml:space="preserve"> (пищевые продукты</w:t>
      </w:r>
      <w:r>
        <w:rPr>
          <w:b w:val="0"/>
          <w:szCs w:val="28"/>
        </w:rPr>
        <w:t>, обувь</w:t>
      </w:r>
      <w:r w:rsidRPr="003933F4">
        <w:rPr>
          <w:b w:val="0"/>
          <w:szCs w:val="28"/>
        </w:rPr>
        <w:t>), кризисными явлениями в строительной отрасли (цемент), нестабильная ценовая ситуация на мировом рынке металла.</w:t>
      </w:r>
    </w:p>
    <w:p w:rsidR="00C24168" w:rsidRPr="0030178D" w:rsidRDefault="00C24168" w:rsidP="00016C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54D7">
        <w:rPr>
          <w:rFonts w:ascii="Times New Roman" w:eastAsia="Calibri" w:hAnsi="Times New Roman" w:cs="Times New Roman"/>
          <w:sz w:val="28"/>
          <w:szCs w:val="28"/>
        </w:rPr>
        <w:t>В 2016 году с</w:t>
      </w:r>
      <w:r w:rsidRPr="007B54D7">
        <w:rPr>
          <w:rFonts w:ascii="Times New Roman" w:hAnsi="Times New Roman" w:cs="Times New Roman"/>
          <w:sz w:val="28"/>
          <w:szCs w:val="28"/>
        </w:rPr>
        <w:t>ельским хозяйством в муниципальном образовании город Новороссийск занимались 6 крупных и средних предприятий, 68 малых  предприятий, 72 крестьянских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4D7">
        <w:rPr>
          <w:rFonts w:ascii="Times New Roman" w:hAnsi="Times New Roman" w:cs="Times New Roman"/>
          <w:sz w:val="28"/>
          <w:szCs w:val="28"/>
        </w:rPr>
        <w:t xml:space="preserve">(фермерских) хозяйства и более 16 тысяч хозяйств населения. </w:t>
      </w:r>
      <w:r w:rsidRPr="003017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168" w:rsidRDefault="00C24168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Крупные предприятия отрасли: </w:t>
      </w:r>
      <w:r w:rsidRPr="0030178D">
        <w:rPr>
          <w:rFonts w:ascii="Times New Roman" w:eastAsia="Calibri" w:hAnsi="Times New Roman" w:cs="Times New Roman"/>
          <w:sz w:val="28"/>
          <w:szCs w:val="28"/>
        </w:rPr>
        <w:t xml:space="preserve">ЗАО ПТФ «Новороссийский» и ООО «Абрау-Дюрсо». </w:t>
      </w:r>
    </w:p>
    <w:p w:rsidR="00C24168" w:rsidRPr="005605F9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крупными и средними предприятиями сельскохозяйственного комплекса отгружено продукции сельского хозяйства, оказано услуг в данной области на сумму 942,6 млн. рублей. Темп роста к 2014 году составил 139,2%. </w:t>
      </w:r>
    </w:p>
    <w:p w:rsidR="00C24168" w:rsidRPr="00202A3E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02A3E">
        <w:rPr>
          <w:rFonts w:ascii="Times New Roman" w:hAnsi="Times New Roman" w:cs="Times New Roman"/>
          <w:bCs/>
          <w:sz w:val="28"/>
        </w:rPr>
        <w:t>На территории муниципального образ</w:t>
      </w:r>
      <w:r>
        <w:rPr>
          <w:rFonts w:ascii="Times New Roman" w:hAnsi="Times New Roman" w:cs="Times New Roman"/>
          <w:bCs/>
          <w:sz w:val="28"/>
        </w:rPr>
        <w:t>ования город Новороссийск в 2013</w:t>
      </w:r>
      <w:r w:rsidRPr="00202A3E">
        <w:rPr>
          <w:rFonts w:ascii="Times New Roman" w:hAnsi="Times New Roman" w:cs="Times New Roman"/>
          <w:bCs/>
          <w:sz w:val="28"/>
        </w:rPr>
        <w:t xml:space="preserve"> году действовало </w:t>
      </w:r>
      <w:r>
        <w:rPr>
          <w:rFonts w:ascii="Times New Roman" w:hAnsi="Times New Roman" w:cs="Times New Roman"/>
          <w:bCs/>
          <w:sz w:val="28"/>
        </w:rPr>
        <w:t xml:space="preserve">1198    предприятий строительного комплекса. </w:t>
      </w:r>
    </w:p>
    <w:p w:rsidR="00C24168" w:rsidRPr="00120D03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2014</w:t>
      </w:r>
      <w:r w:rsidRPr="00202A3E">
        <w:rPr>
          <w:rFonts w:ascii="Times New Roman" w:hAnsi="Times New Roman" w:cs="Times New Roman"/>
          <w:bCs/>
          <w:sz w:val="28"/>
        </w:rPr>
        <w:t xml:space="preserve"> года по 201</w:t>
      </w:r>
      <w:r>
        <w:rPr>
          <w:rFonts w:ascii="Times New Roman" w:hAnsi="Times New Roman" w:cs="Times New Roman"/>
          <w:bCs/>
          <w:sz w:val="28"/>
        </w:rPr>
        <w:t>6</w:t>
      </w:r>
      <w:r w:rsidRPr="00202A3E">
        <w:rPr>
          <w:rFonts w:ascii="Times New Roman" w:hAnsi="Times New Roman" w:cs="Times New Roman"/>
          <w:bCs/>
          <w:sz w:val="28"/>
        </w:rPr>
        <w:t xml:space="preserve"> год объем подрядных работ, выполненных собственными силами по договорам строительного подряда крупными и средними предприятиями строительного комплекса, </w:t>
      </w:r>
      <w:r>
        <w:rPr>
          <w:rFonts w:ascii="Times New Roman" w:hAnsi="Times New Roman" w:cs="Times New Roman"/>
          <w:bCs/>
          <w:sz w:val="28"/>
        </w:rPr>
        <w:t>снизился</w:t>
      </w:r>
      <w:r w:rsidRPr="00202A3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 15,9%</w:t>
      </w:r>
      <w:r w:rsidRPr="00202A3E">
        <w:rPr>
          <w:rFonts w:ascii="Times New Roman" w:hAnsi="Times New Roman" w:cs="Times New Roman"/>
          <w:bCs/>
          <w:sz w:val="28"/>
        </w:rPr>
        <w:t xml:space="preserve"> с </w:t>
      </w:r>
      <w:r>
        <w:rPr>
          <w:rFonts w:ascii="Times New Roman" w:hAnsi="Times New Roman" w:cs="Times New Roman"/>
          <w:bCs/>
          <w:sz w:val="28"/>
        </w:rPr>
        <w:t xml:space="preserve">15,4 </w:t>
      </w:r>
      <w:r w:rsidRPr="00202A3E">
        <w:rPr>
          <w:rFonts w:ascii="Times New Roman" w:hAnsi="Times New Roman" w:cs="Times New Roman"/>
          <w:bCs/>
          <w:sz w:val="28"/>
        </w:rPr>
        <w:t xml:space="preserve">млрд. рублей до </w:t>
      </w:r>
      <w:r>
        <w:rPr>
          <w:rFonts w:ascii="Times New Roman" w:hAnsi="Times New Roman" w:cs="Times New Roman"/>
          <w:bCs/>
          <w:sz w:val="28"/>
        </w:rPr>
        <w:t xml:space="preserve">13,0 млрд. рублей в связи с завершением в 2014 году олимпийского строительства и строительства большинства объектов Новороссийской военно-морской базы, а также кризисными явлениями в строительной отрасли </w:t>
      </w:r>
      <w:r w:rsidRPr="00120D03">
        <w:rPr>
          <w:rFonts w:ascii="Times New Roman" w:eastAsia="Calibri" w:hAnsi="Times New Roman" w:cs="Times New Roman"/>
          <w:sz w:val="28"/>
        </w:rPr>
        <w:t>и сокращением портфеля заказов на строительство объектов</w:t>
      </w:r>
      <w:r w:rsidRPr="00120D03">
        <w:rPr>
          <w:rFonts w:ascii="Times New Roman" w:hAnsi="Times New Roman" w:cs="Times New Roman"/>
          <w:sz w:val="28"/>
        </w:rPr>
        <w:t xml:space="preserve">, </w:t>
      </w:r>
      <w:r w:rsidRPr="00120D03">
        <w:rPr>
          <w:rFonts w:ascii="Times New Roman" w:eastAsia="Calibri" w:hAnsi="Times New Roman" w:cs="Times New Roman"/>
          <w:sz w:val="28"/>
        </w:rPr>
        <w:t>сокращением объемов строительства и ввода в эксплуатацию ИЖС (в связи с повышением цен на строительные материалы, увеличением процентных ставок по кредитам и т.д.)</w:t>
      </w:r>
      <w:r w:rsidRPr="00120D03">
        <w:rPr>
          <w:rFonts w:ascii="Times New Roman" w:hAnsi="Times New Roman" w:cs="Times New Roman"/>
          <w:sz w:val="28"/>
        </w:rPr>
        <w:t>.</w:t>
      </w:r>
    </w:p>
    <w:p w:rsidR="00C24168" w:rsidRPr="004C4BE5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2014-2016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годов введено в эксплуатацию жилья с учётом индивидуального строительства </w:t>
      </w:r>
      <w:r>
        <w:rPr>
          <w:rFonts w:ascii="Times New Roman" w:hAnsi="Times New Roman" w:cs="Times New Roman"/>
          <w:sz w:val="28"/>
          <w:szCs w:val="28"/>
        </w:rPr>
        <w:t>843,2</w:t>
      </w:r>
      <w:r w:rsidRPr="00202A3E">
        <w:rPr>
          <w:rFonts w:ascii="Times New Roman" w:hAnsi="Times New Roman" w:cs="Times New Roman"/>
          <w:sz w:val="28"/>
          <w:szCs w:val="28"/>
        </w:rPr>
        <w:t xml:space="preserve"> тыс. кв. м., из них </w:t>
      </w:r>
      <w:r>
        <w:rPr>
          <w:rFonts w:ascii="Times New Roman" w:hAnsi="Times New Roman" w:cs="Times New Roman"/>
          <w:sz w:val="28"/>
          <w:szCs w:val="28"/>
        </w:rPr>
        <w:t>247,4</w:t>
      </w:r>
      <w:r w:rsidRPr="00202A3E">
        <w:rPr>
          <w:rFonts w:ascii="Times New Roman" w:hAnsi="Times New Roman" w:cs="Times New Roman"/>
          <w:sz w:val="28"/>
          <w:szCs w:val="28"/>
        </w:rPr>
        <w:t xml:space="preserve"> тыс. кв. м. индивидуальное жилищное строительство. </w:t>
      </w:r>
    </w:p>
    <w:p w:rsidR="00C24168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3E">
        <w:rPr>
          <w:rFonts w:ascii="Times New Roman" w:hAnsi="Times New Roman" w:cs="Times New Roman"/>
          <w:sz w:val="28"/>
          <w:szCs w:val="28"/>
        </w:rPr>
        <w:t xml:space="preserve">Активно развиваются площадки строительства многоквартирного жилья: 16 микрорайон, </w:t>
      </w:r>
      <w:r>
        <w:rPr>
          <w:rFonts w:ascii="Times New Roman" w:hAnsi="Times New Roman" w:cs="Times New Roman"/>
          <w:sz w:val="28"/>
          <w:szCs w:val="28"/>
        </w:rPr>
        <w:t>16-а, район питомника и другие.</w:t>
      </w:r>
      <w:r w:rsidRPr="00202A3E">
        <w:rPr>
          <w:rFonts w:ascii="Times New Roman" w:hAnsi="Times New Roman" w:cs="Times New Roman"/>
          <w:sz w:val="28"/>
          <w:szCs w:val="28"/>
        </w:rPr>
        <w:t xml:space="preserve"> Основными застройщиками являются: «ОБД-инвест», </w:t>
      </w:r>
      <w:r>
        <w:rPr>
          <w:rFonts w:ascii="Times New Roman" w:hAnsi="Times New Roman" w:cs="Times New Roman"/>
          <w:sz w:val="28"/>
          <w:szCs w:val="28"/>
        </w:rPr>
        <w:t>«Кубаньжилстрой», «ПИК-регион», ООО «Новоросметалл».</w:t>
      </w:r>
    </w:p>
    <w:p w:rsidR="00C24168" w:rsidRDefault="00C24168" w:rsidP="00016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A3E">
        <w:rPr>
          <w:rFonts w:ascii="Times New Roman" w:hAnsi="Times New Roman" w:cs="Times New Roman"/>
          <w:sz w:val="28"/>
          <w:szCs w:val="28"/>
        </w:rPr>
        <w:t>На потребительском рынке города осуществляют деятельность</w:t>
      </w:r>
      <w:r w:rsidRPr="006D0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3187 предприятий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2014 году осуществляло деятельность 3286 субъектов)</w:t>
      </w:r>
      <w:r w:rsidRPr="006D0578">
        <w:rPr>
          <w:rFonts w:ascii="Times New Roman" w:eastAsia="Calibri" w:hAnsi="Times New Roman" w:cs="Times New Roman"/>
          <w:bCs/>
          <w:sz w:val="28"/>
          <w:szCs w:val="28"/>
        </w:rPr>
        <w:t>, в том числе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855E1E">
        <w:rPr>
          <w:rFonts w:ascii="Times New Roman" w:hAnsi="Times New Roman"/>
          <w:bCs/>
          <w:sz w:val="28"/>
          <w:szCs w:val="28"/>
        </w:rPr>
        <w:t>1852 – предприятия розничной торговли,  1</w:t>
      </w:r>
      <w:r w:rsidRPr="00CC53A7">
        <w:rPr>
          <w:rFonts w:ascii="Times New Roman" w:hAnsi="Times New Roman"/>
          <w:bCs/>
          <w:sz w:val="28"/>
          <w:szCs w:val="28"/>
        </w:rPr>
        <w:t>27</w:t>
      </w:r>
      <w:r w:rsidRPr="00855E1E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5E1E">
        <w:rPr>
          <w:rFonts w:ascii="Times New Roman" w:hAnsi="Times New Roman"/>
          <w:bCs/>
          <w:sz w:val="28"/>
          <w:szCs w:val="28"/>
        </w:rPr>
        <w:t xml:space="preserve"> оптовой торговли, 390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5E1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5E1E">
        <w:rPr>
          <w:rFonts w:ascii="Times New Roman" w:hAnsi="Times New Roman"/>
          <w:bCs/>
          <w:sz w:val="28"/>
          <w:szCs w:val="28"/>
        </w:rPr>
        <w:t xml:space="preserve">общественного питания, </w:t>
      </w:r>
      <w:r w:rsidRPr="00CC53A7">
        <w:rPr>
          <w:rFonts w:ascii="Times New Roman" w:hAnsi="Times New Roman"/>
          <w:bCs/>
          <w:sz w:val="28"/>
          <w:szCs w:val="28"/>
        </w:rPr>
        <w:t>424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53A7">
        <w:rPr>
          <w:rFonts w:ascii="Times New Roman" w:hAnsi="Times New Roman"/>
          <w:bCs/>
          <w:sz w:val="28"/>
          <w:szCs w:val="28"/>
        </w:rPr>
        <w:t>- бытового обслуживания</w:t>
      </w:r>
      <w:r w:rsidRPr="00855E1E">
        <w:rPr>
          <w:rFonts w:ascii="Times New Roman" w:hAnsi="Times New Roman"/>
          <w:bCs/>
          <w:sz w:val="28"/>
          <w:szCs w:val="28"/>
        </w:rPr>
        <w:t>; объектов нестационарных объектов летней торговли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5E1E">
        <w:rPr>
          <w:rFonts w:ascii="Times New Roman" w:hAnsi="Times New Roman"/>
          <w:bCs/>
          <w:sz w:val="28"/>
          <w:szCs w:val="28"/>
        </w:rPr>
        <w:t xml:space="preserve">– </w:t>
      </w:r>
      <w:r w:rsidRPr="00C26FD9">
        <w:rPr>
          <w:rFonts w:ascii="Times New Roman" w:hAnsi="Times New Roman"/>
          <w:bCs/>
          <w:sz w:val="28"/>
          <w:szCs w:val="28"/>
        </w:rPr>
        <w:t>387</w:t>
      </w:r>
      <w:r>
        <w:rPr>
          <w:rFonts w:ascii="Times New Roman" w:hAnsi="Times New Roman"/>
          <w:bCs/>
          <w:sz w:val="28"/>
          <w:szCs w:val="28"/>
        </w:rPr>
        <w:t>; 7 торговых центров</w:t>
      </w:r>
      <w:r w:rsidRPr="006D057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Снижение обусловлено укрупнением розничной сети за счет строительства и ввода в эксплуатацию крупных сетевых магазинов.</w:t>
      </w:r>
    </w:p>
    <w:p w:rsidR="00C24168" w:rsidRPr="007611A7" w:rsidRDefault="00C24168" w:rsidP="0001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5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Pr="00202A3E">
        <w:rPr>
          <w:rFonts w:ascii="Times New Roman" w:hAnsi="Times New Roman" w:cs="Times New Roman"/>
          <w:sz w:val="28"/>
          <w:szCs w:val="28"/>
        </w:rPr>
        <w:t>Приоритетными направлениями в области потребительского рынка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году являлись: организация работы по наполняемости доходной части бюджетов всех уровней, упорядочение размещения мелкорозничной торговой сети, приведение деятельности предприятий потребительского рынка в соответствии с требованиями законодательства, проведение реконструкции и благоустройства предприятий торговли, общественного питания и бытовых услуг, организация и проведение мероприятий по ликвидации торговли в неустановленных местах, проведение ежедневной ярмарочной торговли по сниженным ценам.</w:t>
      </w:r>
    </w:p>
    <w:p w:rsidR="00C24168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оборот розничной торговли крупных и средних предприятий составил  </w:t>
      </w:r>
      <w:r>
        <w:rPr>
          <w:rFonts w:ascii="Times New Roman" w:eastAsia="Calibri" w:hAnsi="Times New Roman" w:cs="Times New Roman"/>
          <w:sz w:val="28"/>
          <w:szCs w:val="28"/>
        </w:rPr>
        <w:t>34,1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>или 141,2% к уровню 2014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года Ведущая роль в удовлетворении покупательского спроса новороссийцев принадлежит организованной розничной торговле.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развития потребительского рынка города является увеличение количества крупных и сетевых магазинов. </w:t>
      </w:r>
      <w:r w:rsidRPr="007611A7">
        <w:rPr>
          <w:rFonts w:ascii="Times New Roman" w:eastAsia="Calibri" w:hAnsi="Times New Roman" w:cs="Times New Roman"/>
          <w:sz w:val="28"/>
          <w:szCs w:val="28"/>
        </w:rPr>
        <w:t>Активно развиваются отечественные («Магнит», «Лента», «Перекресток», «Пятерочка» и др.) и зарубежные («Метро Кэш энд Керри» и др.) сетевые компании.</w:t>
      </w:r>
    </w:p>
    <w:p w:rsidR="00C24168" w:rsidRPr="007611A7" w:rsidRDefault="00C24168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В целях удовлетворения потребительского спроса и обеспечения населения города Новороссийска продукцией сельскохозяйственного производства, краевых товаропроизводите</w:t>
      </w:r>
      <w:r>
        <w:rPr>
          <w:rFonts w:ascii="Times New Roman" w:eastAsia="Calibri" w:hAnsi="Times New Roman" w:cs="Times New Roman"/>
          <w:sz w:val="28"/>
          <w:szCs w:val="28"/>
        </w:rPr>
        <w:t>лей, на территории города в 2016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sz w:val="28"/>
          <w:szCs w:val="28"/>
        </w:rPr>
        <w:t>1144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ярмар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по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(в 2014 году – 890 ярмарок)</w:t>
      </w:r>
      <w:r w:rsidRPr="007611A7">
        <w:rPr>
          <w:rFonts w:ascii="Times New Roman" w:eastAsia="Calibri" w:hAnsi="Times New Roman" w:cs="Times New Roman"/>
          <w:sz w:val="28"/>
          <w:szCs w:val="28"/>
        </w:rPr>
        <w:t>. Цены на ярмарках на 5-10% ниже рыночных.</w:t>
      </w:r>
    </w:p>
    <w:p w:rsidR="00C24168" w:rsidRPr="007611A7" w:rsidRDefault="00C24168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Оборот общественного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по кругу крупных и средних предприятий </w:t>
      </w: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eastAsia="Calibri" w:hAnsi="Times New Roman" w:cs="Times New Roman"/>
          <w:sz w:val="28"/>
          <w:szCs w:val="28"/>
        </w:rPr>
        <w:t>1113,0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руб., что обеспечило </w:t>
      </w:r>
      <w:r>
        <w:rPr>
          <w:rFonts w:ascii="Times New Roman" w:hAnsi="Times New Roman" w:cs="Times New Roman"/>
          <w:sz w:val="28"/>
          <w:szCs w:val="28"/>
        </w:rPr>
        <w:t>рост к уровню 2014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17,3%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4168" w:rsidRPr="003F7D5A" w:rsidRDefault="00C24168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году населению было оказано платных услуг на сумму </w:t>
      </w:r>
      <w:r>
        <w:rPr>
          <w:rFonts w:ascii="Times New Roman" w:eastAsia="Calibri" w:hAnsi="Times New Roman" w:cs="Times New Roman"/>
          <w:sz w:val="28"/>
          <w:szCs w:val="28"/>
        </w:rPr>
        <w:t>10,1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руб., что в фактических ценах на </w:t>
      </w:r>
      <w:r>
        <w:rPr>
          <w:rFonts w:ascii="Times New Roman" w:hAnsi="Times New Roman" w:cs="Times New Roman"/>
          <w:sz w:val="28"/>
          <w:szCs w:val="28"/>
        </w:rPr>
        <w:t>22,6</w:t>
      </w:r>
      <w:r w:rsidRPr="007611A7">
        <w:rPr>
          <w:rFonts w:ascii="Times New Roman" w:eastAsia="Calibri" w:hAnsi="Times New Roman" w:cs="Times New Roman"/>
          <w:sz w:val="28"/>
          <w:szCs w:val="28"/>
        </w:rPr>
        <w:t>% выше объема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7611A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C24168" w:rsidRDefault="00C24168" w:rsidP="00016C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5">
        <w:rPr>
          <w:rFonts w:ascii="Times New Roman" w:eastAsia="SimSun" w:hAnsi="Times New Roman" w:cs="Times New Roman"/>
          <w:sz w:val="28"/>
          <w:szCs w:val="28"/>
          <w:lang w:eastAsia="zh-CN"/>
        </w:rPr>
        <w:t>Курортно-туристический комплекс муниципального образования город Новороссийск включает в себя более 100 объектов санаторно-курортного, оздоровительного и гостиничного комплекса общей вместимостью 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7858F5">
        <w:rPr>
          <w:rFonts w:ascii="Times New Roman" w:eastAsia="SimSun" w:hAnsi="Times New Roman" w:cs="Times New Roman"/>
          <w:sz w:val="28"/>
          <w:szCs w:val="28"/>
          <w:lang w:eastAsia="zh-CN"/>
        </w:rPr>
        <w:t>24 койко-мест.</w:t>
      </w:r>
    </w:p>
    <w:p w:rsidR="00C24168" w:rsidRPr="007858F5" w:rsidRDefault="00C24168" w:rsidP="00016C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8F5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014 по 2016</w:t>
      </w:r>
      <w:r w:rsidRPr="007858F5">
        <w:rPr>
          <w:rFonts w:ascii="Times New Roman" w:hAnsi="Times New Roman" w:cs="Times New Roman"/>
          <w:sz w:val="28"/>
          <w:szCs w:val="28"/>
        </w:rPr>
        <w:t xml:space="preserve"> годы город посетили </w:t>
      </w:r>
      <w:r>
        <w:rPr>
          <w:rFonts w:ascii="Times New Roman" w:hAnsi="Times New Roman" w:cs="Times New Roman"/>
          <w:sz w:val="28"/>
          <w:szCs w:val="28"/>
        </w:rPr>
        <w:t>2010,9</w:t>
      </w:r>
      <w:r w:rsidRPr="007858F5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C24168" w:rsidRPr="009E1500" w:rsidRDefault="00C24168" w:rsidP="00016C8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0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9E1500">
        <w:rPr>
          <w:rFonts w:ascii="Times New Roman" w:eastAsia="Calibri" w:hAnsi="Times New Roman" w:cs="Times New Roman"/>
          <w:sz w:val="28"/>
          <w:szCs w:val="28"/>
        </w:rPr>
        <w:t>введены в эксплуатацию 3 объекта общей коечной емкостью 114 койко-мест: отель «Крылья» в п. Абрау-Дюрсо, один корпус пансионата «Меркурий», гостевой дом «</w:t>
      </w:r>
      <w:r w:rsidRPr="009E1500">
        <w:rPr>
          <w:rFonts w:ascii="Times New Roman" w:eastAsia="Calibri" w:hAnsi="Times New Roman" w:cs="Times New Roman"/>
          <w:sz w:val="28"/>
          <w:szCs w:val="28"/>
          <w:lang w:val="en-US"/>
        </w:rPr>
        <w:t>Redline</w:t>
      </w:r>
      <w:r w:rsidRPr="009E150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4168" w:rsidRPr="007858F5" w:rsidRDefault="00C24168" w:rsidP="00016C8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F5">
        <w:rPr>
          <w:rFonts w:ascii="Times New Roman" w:hAnsi="Times New Roman" w:cs="Times New Roman"/>
          <w:sz w:val="28"/>
          <w:szCs w:val="28"/>
        </w:rPr>
        <w:t>В летний курортный сезон продолжил работу специализированный пляж для приёма маломобильных отдыхающих на Суджукской косе. Был благоустроен спуск к морю на Центральном городском пляже.</w:t>
      </w:r>
    </w:p>
    <w:p w:rsidR="00C24168" w:rsidRDefault="00C24168" w:rsidP="00016C8B">
      <w:pPr>
        <w:pStyle w:val="ac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объем оказанных услуг крупными и средними организациями курортно-туристского комплекса составил 250,3</w:t>
      </w:r>
      <w:r w:rsidRPr="007858F5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руб., с темпом роста к 2014 году 122,5%. </w:t>
      </w:r>
    </w:p>
    <w:p w:rsidR="00C24168" w:rsidRPr="009E1500" w:rsidRDefault="00C24168" w:rsidP="00016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1500"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курортного сезона </w:t>
      </w:r>
      <w:r w:rsidRPr="009E1500"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Pr="009E1500">
        <w:rPr>
          <w:rFonts w:ascii="Times New Roman" w:eastAsia="Calibri" w:hAnsi="Times New Roman" w:cs="Times New Roman"/>
          <w:bCs/>
          <w:sz w:val="28"/>
          <w:szCs w:val="28"/>
        </w:rPr>
        <w:t xml:space="preserve">в городе Новороссийске функционировали 10 объектов туристского показа, </w:t>
      </w:r>
      <w:r w:rsidRPr="009E1500">
        <w:rPr>
          <w:rFonts w:ascii="Times New Roman" w:hAnsi="Times New Roman" w:cs="Times New Roman"/>
          <w:bCs/>
          <w:sz w:val="28"/>
          <w:szCs w:val="28"/>
        </w:rPr>
        <w:t>в период межсезонья – 9.</w:t>
      </w:r>
      <w:r w:rsidRPr="009E15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500">
        <w:rPr>
          <w:rFonts w:ascii="Times New Roman" w:hAnsi="Times New Roman" w:cs="Times New Roman"/>
          <w:bCs/>
          <w:sz w:val="28"/>
          <w:szCs w:val="28"/>
        </w:rPr>
        <w:t>Н</w:t>
      </w:r>
      <w:r w:rsidRPr="009E1500">
        <w:rPr>
          <w:rFonts w:ascii="Times New Roman" w:eastAsia="Calibri" w:hAnsi="Times New Roman" w:cs="Times New Roman"/>
          <w:bCs/>
          <w:sz w:val="28"/>
          <w:szCs w:val="28"/>
        </w:rPr>
        <w:t>аиболее посещаемые из них туристами: Центр винного туризма «Абрау-</w:t>
      </w:r>
      <w:r w:rsidRPr="009E15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Дюрсо», культурно-туристический комплекс «Россия», Новороссийский исторический музей-заповедник.</w:t>
      </w:r>
    </w:p>
    <w:p w:rsidR="00C24168" w:rsidRPr="007858F5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8F5">
        <w:rPr>
          <w:rFonts w:ascii="Times New Roman" w:hAnsi="Times New Roman" w:cs="Times New Roman"/>
          <w:bCs/>
          <w:sz w:val="28"/>
          <w:szCs w:val="28"/>
        </w:rPr>
        <w:t>Рост посещаемости объект</w:t>
      </w:r>
      <w:r>
        <w:rPr>
          <w:rFonts w:ascii="Times New Roman" w:hAnsi="Times New Roman" w:cs="Times New Roman"/>
          <w:bCs/>
          <w:sz w:val="28"/>
          <w:szCs w:val="28"/>
        </w:rPr>
        <w:t>ов туристского показа составил 7</w:t>
      </w:r>
      <w:r w:rsidRPr="007858F5">
        <w:rPr>
          <w:rFonts w:ascii="Times New Roman" w:hAnsi="Times New Roman" w:cs="Times New Roman"/>
          <w:bCs/>
          <w:sz w:val="28"/>
          <w:szCs w:val="28"/>
        </w:rPr>
        <w:t>7%.</w:t>
      </w: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F5">
        <w:rPr>
          <w:sz w:val="28"/>
          <w:szCs w:val="28"/>
        </w:rPr>
        <w:t xml:space="preserve">        </w:t>
      </w:r>
      <w:r w:rsidRPr="007858F5">
        <w:rPr>
          <w:rFonts w:ascii="Times New Roman" w:hAnsi="Times New Roman" w:cs="Times New Roman"/>
          <w:sz w:val="28"/>
          <w:szCs w:val="28"/>
        </w:rPr>
        <w:t>Продолжается обустройство объектов туристического показа (</w:t>
      </w:r>
      <w:r w:rsidRPr="007858F5">
        <w:rPr>
          <w:rFonts w:ascii="Times New Roman" w:hAnsi="Times New Roman" w:cs="Times New Roman"/>
          <w:bCs/>
          <w:sz w:val="28"/>
          <w:szCs w:val="28"/>
        </w:rPr>
        <w:t xml:space="preserve">культурно-туристический комплекс «Россия», </w:t>
      </w:r>
      <w:r w:rsidRPr="007858F5">
        <w:rPr>
          <w:rFonts w:ascii="Times New Roman" w:hAnsi="Times New Roman" w:cs="Times New Roman"/>
          <w:sz w:val="28"/>
          <w:szCs w:val="28"/>
        </w:rPr>
        <w:t>парк живой природы «До-До» и «Центр винного туризма Абрау-Дюрсо»).</w:t>
      </w:r>
    </w:p>
    <w:p w:rsidR="00C24168" w:rsidRPr="009E1500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00">
        <w:rPr>
          <w:rFonts w:ascii="Times New Roman" w:eastAsia="Calibri" w:hAnsi="Times New Roman" w:cs="Times New Roman"/>
          <w:sz w:val="28"/>
          <w:szCs w:val="28"/>
        </w:rPr>
        <w:t xml:space="preserve">В 2016 году стартовал запуск нового объекта туристского показа - </w:t>
      </w:r>
      <w:r w:rsidRPr="009E1500">
        <w:rPr>
          <w:rFonts w:ascii="Times New Roman" w:eastAsia="Calibri" w:hAnsi="Times New Roman" w:cs="Times New Roman"/>
          <w:noProof/>
          <w:sz w:val="28"/>
          <w:szCs w:val="28"/>
        </w:rPr>
        <w:t>Центра высокотехнологичного медиаискусства «Марс», который является вторым в России и одним из немногих в мире центров, занимающихся самым передовым из ныне существующих искусств – аудиовизуальными инсталляциями.</w:t>
      </w:r>
    </w:p>
    <w:p w:rsidR="00C24168" w:rsidRPr="007858F5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Pr="007858F5">
        <w:rPr>
          <w:rFonts w:ascii="Times New Roman" w:hAnsi="Times New Roman" w:cs="Times New Roman"/>
          <w:sz w:val="28"/>
          <w:szCs w:val="28"/>
        </w:rPr>
        <w:t xml:space="preserve"> году заключены соглашения о реализации инвестиционных проектов на территории туристско-рекреационного кластера «Абрау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58F5">
        <w:rPr>
          <w:rFonts w:ascii="Times New Roman" w:hAnsi="Times New Roman" w:cs="Times New Roman"/>
          <w:sz w:val="28"/>
          <w:szCs w:val="28"/>
        </w:rPr>
        <w:t xml:space="preserve"> Утриш» с участием 7 предприятий-инвесторов. </w:t>
      </w:r>
    </w:p>
    <w:p w:rsidR="00C24168" w:rsidRDefault="00C24168" w:rsidP="00016C8B">
      <w:pPr>
        <w:pStyle w:val="aa"/>
        <w:ind w:firstLine="708"/>
        <w:jc w:val="both"/>
        <w:rPr>
          <w:b w:val="0"/>
        </w:rPr>
      </w:pPr>
      <w:r w:rsidRPr="00202A3E">
        <w:rPr>
          <w:b w:val="0"/>
        </w:rPr>
        <w:t>В 201</w:t>
      </w:r>
      <w:r>
        <w:rPr>
          <w:b w:val="0"/>
        </w:rPr>
        <w:t>6 году по сравнению с 2014</w:t>
      </w:r>
      <w:r w:rsidRPr="00202A3E">
        <w:rPr>
          <w:b w:val="0"/>
        </w:rPr>
        <w:t xml:space="preserve"> годом обеспечен рост </w:t>
      </w:r>
      <w:r>
        <w:rPr>
          <w:b w:val="0"/>
        </w:rPr>
        <w:t>сальдированного финансового результата хозяйствующих</w:t>
      </w:r>
      <w:r w:rsidRPr="00202A3E">
        <w:rPr>
          <w:b w:val="0"/>
        </w:rPr>
        <w:t xml:space="preserve"> </w:t>
      </w:r>
      <w:r>
        <w:rPr>
          <w:b w:val="0"/>
        </w:rPr>
        <w:t>субъектов до 176,2</w:t>
      </w:r>
      <w:r w:rsidRPr="00202A3E">
        <w:rPr>
          <w:b w:val="0"/>
        </w:rPr>
        <w:t xml:space="preserve"> </w:t>
      </w:r>
      <w:r>
        <w:rPr>
          <w:b w:val="0"/>
        </w:rPr>
        <w:t>млрд. рублей (сальдированная прибыль).</w:t>
      </w:r>
      <w:r w:rsidRPr="00202A3E">
        <w:rPr>
          <w:b w:val="0"/>
        </w:rPr>
        <w:t xml:space="preserve"> </w:t>
      </w:r>
      <w:r>
        <w:rPr>
          <w:b w:val="0"/>
        </w:rPr>
        <w:t>В 2014 году был отмечен отрицательный сальдированный финансовый результат в сумме 103,2 млрд. рублей в связи со сложившейся отрицательной курсовой разницей по заемным обязательствам крупнейших предприятий транспорта в иностранной валюте в результате резкого роста курса доллара в декабре 2014 года.</w:t>
      </w:r>
    </w:p>
    <w:p w:rsidR="00C24168" w:rsidRPr="00453D2A" w:rsidRDefault="00C24168" w:rsidP="00016C8B">
      <w:pPr>
        <w:pStyle w:val="aa"/>
        <w:ind w:firstLine="708"/>
        <w:jc w:val="both"/>
        <w:rPr>
          <w:b w:val="0"/>
        </w:rPr>
      </w:pP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Отдельные показатели социально-экономического положения населения</w:t>
      </w:r>
    </w:p>
    <w:p w:rsidR="00C24168" w:rsidRDefault="00C24168" w:rsidP="00016C8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1.4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28"/>
        <w:gridCol w:w="992"/>
        <w:gridCol w:w="992"/>
        <w:gridCol w:w="1134"/>
        <w:gridCol w:w="1277"/>
        <w:gridCol w:w="992"/>
        <w:gridCol w:w="992"/>
      </w:tblGrid>
      <w:tr w:rsidR="00C24168" w:rsidRPr="001251C5" w:rsidTr="00C2416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5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168" w:rsidRPr="001251C5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C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к, %</w:t>
            </w:r>
          </w:p>
        </w:tc>
      </w:tr>
      <w:tr w:rsidR="00C24168" w:rsidRPr="001251C5" w:rsidTr="00C24168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0876">
              <w:rPr>
                <w:rFonts w:ascii="Times New Roman" w:hAnsi="Times New Roman"/>
                <w:sz w:val="24"/>
                <w:szCs w:val="24"/>
              </w:rPr>
              <w:t>реднегодовая численность занятых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76">
              <w:rPr>
                <w:rFonts w:ascii="Times New Roman" w:hAnsi="Times New Roman"/>
                <w:sz w:val="24"/>
                <w:szCs w:val="24"/>
              </w:rPr>
              <w:t>Среднегодовая численность зарегистрированных безработных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C24168" w:rsidRPr="001251C5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76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одного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кругу крупных и средних предприятий),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168" w:rsidRPr="001251C5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</w:tbl>
    <w:p w:rsidR="00C24168" w:rsidRDefault="00C24168" w:rsidP="00016C8B">
      <w:pPr>
        <w:spacing w:after="0" w:line="240" w:lineRule="auto"/>
        <w:jc w:val="both"/>
        <w:rPr>
          <w:b/>
          <w:sz w:val="28"/>
          <w:szCs w:val="28"/>
        </w:rPr>
      </w:pPr>
    </w:p>
    <w:p w:rsidR="00C24168" w:rsidRPr="00202A3E" w:rsidRDefault="00C24168" w:rsidP="0001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A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Среднемесячная номинальная начисленная заработная плата в расчете на одного работника по крупн</w:t>
      </w:r>
      <w:r>
        <w:rPr>
          <w:rFonts w:ascii="Times New Roman" w:hAnsi="Times New Roman" w:cs="Times New Roman"/>
          <w:color w:val="000000"/>
          <w:sz w:val="28"/>
          <w:szCs w:val="28"/>
        </w:rPr>
        <w:t>ым и средним предприятиям в 2016</w:t>
      </w:r>
      <w:r w:rsidRPr="00202A3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38367</w:t>
      </w:r>
      <w:r w:rsidRPr="00202A3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ей, по отношению к 2014</w:t>
      </w:r>
      <w:r w:rsidRPr="00202A3E">
        <w:rPr>
          <w:rFonts w:ascii="Times New Roman" w:hAnsi="Times New Roman" w:cs="Times New Roman"/>
          <w:color w:val="000000"/>
          <w:sz w:val="28"/>
          <w:szCs w:val="28"/>
        </w:rPr>
        <w:t xml:space="preserve"> году темп роста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109,0</w:t>
      </w:r>
      <w:r w:rsidRPr="00202A3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C24168" w:rsidRPr="00202A3E" w:rsidRDefault="00C24168" w:rsidP="0001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A3E">
        <w:rPr>
          <w:rFonts w:ascii="Times New Roman" w:hAnsi="Times New Roman" w:cs="Times New Roman"/>
          <w:color w:val="000000"/>
          <w:sz w:val="28"/>
          <w:szCs w:val="28"/>
        </w:rPr>
        <w:t xml:space="preserve">Лидирующее положение по уровню оплаты труда наблюдается в следующих видах экономической деятельности: транспорт, финансовое посредничество и страхование, оптовая торговля, аренда и услуги. </w:t>
      </w:r>
    </w:p>
    <w:p w:rsidR="00C24168" w:rsidRPr="00202A3E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</w:t>
      </w:r>
      <w:r w:rsidRPr="00202A3E">
        <w:rPr>
          <w:rFonts w:ascii="Times New Roman" w:hAnsi="Times New Roman" w:cs="Times New Roman"/>
          <w:sz w:val="28"/>
          <w:szCs w:val="28"/>
        </w:rPr>
        <w:t xml:space="preserve"> численность постоянно проживающего населения на территории муниципального образования город Новороссийск  составила </w:t>
      </w:r>
      <w:r>
        <w:rPr>
          <w:rFonts w:ascii="Times New Roman" w:hAnsi="Times New Roman" w:cs="Times New Roman"/>
          <w:sz w:val="28"/>
          <w:szCs w:val="28"/>
        </w:rPr>
        <w:t>328,3</w:t>
      </w:r>
      <w:r w:rsidRPr="00202A3E">
        <w:rPr>
          <w:rFonts w:ascii="Times New Roman" w:hAnsi="Times New Roman" w:cs="Times New Roman"/>
          <w:sz w:val="28"/>
          <w:szCs w:val="28"/>
        </w:rPr>
        <w:t xml:space="preserve"> тыс. человек, с темпом роста к 2</w:t>
      </w:r>
      <w:r>
        <w:rPr>
          <w:rFonts w:ascii="Times New Roman" w:hAnsi="Times New Roman" w:cs="Times New Roman"/>
          <w:sz w:val="28"/>
          <w:szCs w:val="28"/>
        </w:rPr>
        <w:t>014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103,8</w:t>
      </w:r>
      <w:r w:rsidRPr="00202A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2416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2A3E">
        <w:rPr>
          <w:rFonts w:ascii="Times New Roman" w:hAnsi="Times New Roman" w:cs="Times New Roman"/>
          <w:sz w:val="28"/>
          <w:szCs w:val="28"/>
        </w:rPr>
        <w:t xml:space="preserve">анято в экономике города </w:t>
      </w:r>
      <w:r>
        <w:rPr>
          <w:rFonts w:ascii="Times New Roman" w:hAnsi="Times New Roman" w:cs="Times New Roman"/>
          <w:sz w:val="28"/>
          <w:szCs w:val="28"/>
        </w:rPr>
        <w:t>156,1</w:t>
      </w:r>
      <w:r w:rsidRPr="00202A3E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sz w:val="28"/>
          <w:szCs w:val="28"/>
        </w:rPr>
        <w:t xml:space="preserve">. Темп роста к 2014 году 101,2%. </w:t>
      </w:r>
    </w:p>
    <w:p w:rsidR="00C24168" w:rsidRPr="00202A3E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году имеет место снижение количества лиц безработных граждан  на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02A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в сравнении с 2014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годом (с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202A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A3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237 человек в 2016</w:t>
      </w:r>
      <w:r w:rsidRPr="00202A3E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C2416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безработицы в 2015 году составил 0,1</w:t>
      </w:r>
      <w:r w:rsidRPr="00202A3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(среднекраевой показатель – 0,6</w:t>
      </w:r>
      <w:r w:rsidRPr="00202A3E">
        <w:rPr>
          <w:rFonts w:ascii="Times New Roman" w:hAnsi="Times New Roman" w:cs="Times New Roman"/>
          <w:sz w:val="28"/>
          <w:szCs w:val="28"/>
        </w:rPr>
        <w:t>%). Уровень безработицы в 20</w:t>
      </w:r>
      <w:r>
        <w:rPr>
          <w:rFonts w:ascii="Times New Roman" w:hAnsi="Times New Roman" w:cs="Times New Roman"/>
          <w:sz w:val="28"/>
          <w:szCs w:val="28"/>
        </w:rPr>
        <w:t>14 году составлял 0,2</w:t>
      </w:r>
      <w:r w:rsidRPr="00202A3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Уровень безработицы в муниципальном образовании город Новороссийск является самым низким в крае.</w:t>
      </w:r>
    </w:p>
    <w:p w:rsidR="00D72147" w:rsidRDefault="00D72147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410"/>
        <w:gridCol w:w="1418"/>
        <w:gridCol w:w="1417"/>
        <w:gridCol w:w="1418"/>
        <w:gridCol w:w="1417"/>
        <w:gridCol w:w="851"/>
        <w:gridCol w:w="313"/>
        <w:gridCol w:w="537"/>
      </w:tblGrid>
      <w:tr w:rsidR="00D72147" w:rsidRPr="00794246" w:rsidTr="00D72147">
        <w:trPr>
          <w:trHeight w:val="630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147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бюджет муниципального образования от хозяйствующих субъектов по отраслям, в тыс.руб.</w:t>
            </w:r>
          </w:p>
          <w:p w:rsidR="00D72147" w:rsidRPr="00794246" w:rsidRDefault="00D72147" w:rsidP="00016C8B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72147" w:rsidRPr="00794246" w:rsidTr="00D72147">
        <w:trPr>
          <w:trHeight w:val="7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ОКВЭД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2016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, %</w:t>
            </w:r>
          </w:p>
        </w:tc>
      </w:tr>
      <w:tr w:rsidR="00D72147" w:rsidRPr="00794246" w:rsidTr="00D72147">
        <w:trPr>
          <w:trHeight w:val="11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(оценка)</w:t>
            </w:r>
          </w:p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72147" w:rsidRPr="00794246" w:rsidTr="00D72147">
        <w:trPr>
          <w:trHeight w:val="11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в бюджет муниципального образования от хоз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субъектов по отраслям, в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17 389 387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18 887 935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18 520 346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20 983 446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D72147" w:rsidRPr="00794246" w:rsidTr="00D72147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перерабатывающая 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72147" w:rsidRPr="00794246" w:rsidTr="00D72147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1 946 948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1 930 362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2 186 023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D72147" w:rsidRPr="00794246" w:rsidTr="00D72147">
        <w:trPr>
          <w:trHeight w:val="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D72147" w:rsidRPr="00794246" w:rsidTr="00D7214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9 002 554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10 184 205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10 676 538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12 096 956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D72147" w:rsidRPr="00794246" w:rsidTr="00D72147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 и розничн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торговля, общепит, </w:t>
            </w: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1 061 386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1 110 381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1 458 842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1 651 397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недвижимостью, аренда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1 222 481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D72147" w:rsidRPr="00794246" w:rsidTr="00D7214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2 162 999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1 285 774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1 258 910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147" w:rsidRPr="00794246" w:rsidRDefault="00D72147" w:rsidP="0001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</w:tbl>
    <w:p w:rsidR="00D72147" w:rsidRPr="00794246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147" w:rsidRPr="00794246" w:rsidRDefault="00D7214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увеличения показателей: </w:t>
      </w:r>
    </w:p>
    <w:p w:rsidR="00D72147" w:rsidRPr="00794246" w:rsidRDefault="00D7214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отрасли транспорта и связи- рост  на 115,4 % обеспечен увеличением объёмов транспортировки нефти по трубам в 2 раза, рост 117,9 % ( АО "Черномортранснефть"); увеличение объемов складирования зерна,; увеличение объёмов производства, рост 112,1 % (ОАО "Новороссийский морской торговый порт) , увеличение объёмов производства, рост 133,1 %  ЗАО «Морской торговый сервис рост, увеличение объёмов производства, рост 110,1 % ЗАО «Новороссийский мазутный терминал». </w:t>
      </w:r>
    </w:p>
    <w:p w:rsidR="00D72147" w:rsidRPr="00794246" w:rsidRDefault="00D72147" w:rsidP="0001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246">
        <w:rPr>
          <w:rFonts w:ascii="Times New Roman" w:hAnsi="Times New Roman" w:cs="Times New Roman"/>
          <w:b/>
          <w:sz w:val="28"/>
          <w:szCs w:val="28"/>
        </w:rPr>
        <w:t>Причины снижения показателей:</w:t>
      </w:r>
    </w:p>
    <w:p w:rsidR="00D72147" w:rsidRPr="00794246" w:rsidRDefault="00D72147" w:rsidP="00016C8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46">
        <w:rPr>
          <w:rFonts w:ascii="Times New Roman" w:eastAsia="Calibri" w:hAnsi="Times New Roman" w:cs="Times New Roman"/>
          <w:b/>
          <w:sz w:val="28"/>
          <w:szCs w:val="28"/>
        </w:rPr>
        <w:t>По отрасли сельское хозяйство</w:t>
      </w:r>
      <w:r w:rsidRPr="00794246">
        <w:rPr>
          <w:rFonts w:ascii="Times New Roman" w:eastAsia="Calibri" w:hAnsi="Times New Roman" w:cs="Times New Roman"/>
          <w:sz w:val="28"/>
          <w:szCs w:val="28"/>
        </w:rPr>
        <w:t xml:space="preserve"> снижение поступлений по ООО Мегаполис на 95,8 млн. руб. в 2016 году по сравнению с 2015 годом за счет уплату  в 2015 году налога на прибыль за счет получения возмещены убытки, понесенные организацией в результате использования земель ООО «Мегаполис» при прокладке части газопровода «Южный поток». </w:t>
      </w:r>
    </w:p>
    <w:p w:rsidR="00D72147" w:rsidRPr="00794246" w:rsidRDefault="00D72147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246">
        <w:rPr>
          <w:rFonts w:ascii="Times New Roman" w:hAnsi="Times New Roman" w:cs="Times New Roman"/>
          <w:b/>
          <w:bCs/>
          <w:sz w:val="28"/>
          <w:szCs w:val="28"/>
        </w:rPr>
        <w:t xml:space="preserve">  По отрасли «добыча сырой нефти и газа»</w:t>
      </w:r>
      <w:r w:rsidRPr="00794246">
        <w:rPr>
          <w:rFonts w:ascii="Times New Roman" w:hAnsi="Times New Roman" w:cs="Times New Roman"/>
          <w:bCs/>
          <w:sz w:val="28"/>
          <w:szCs w:val="28"/>
        </w:rPr>
        <w:t xml:space="preserve"> Крупнейшее предприятие отрасли Филиал Корпорации Шеврон Нефтегаз ИНК в г.Новороссийске, снизившее поступление НДФЛ на 22 млн. руб. из-за  сокращения численности работников.</w:t>
      </w:r>
    </w:p>
    <w:p w:rsidR="00D72147" w:rsidRPr="00794246" w:rsidRDefault="00D72147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246">
        <w:rPr>
          <w:rFonts w:ascii="Times New Roman" w:hAnsi="Times New Roman" w:cs="Times New Roman"/>
          <w:b/>
          <w:sz w:val="28"/>
          <w:szCs w:val="28"/>
        </w:rPr>
        <w:t xml:space="preserve">По отрасли «производство пищевых продуктов, включая напитки: </w:t>
      </w:r>
      <w:r w:rsidRPr="00794246">
        <w:rPr>
          <w:rFonts w:ascii="Times New Roman" w:hAnsi="Times New Roman" w:cs="Times New Roman"/>
          <w:bCs/>
          <w:sz w:val="28"/>
          <w:szCs w:val="28"/>
        </w:rPr>
        <w:t>снижение по крупным плательщикам отрасли ЗАО Абрау-Дюрсо  по НДФЛ на 5,1 млн. рублей, по налогу на прибыль на 111 млн. рублей, ОАО Новоросхлебкондитер снижение по НДФЛ на 12 млн. рублей, снижение</w:t>
      </w:r>
      <w:r w:rsidRPr="00794246">
        <w:rPr>
          <w:rFonts w:ascii="Times New Roman" w:hAnsi="Times New Roman" w:cs="Times New Roman"/>
          <w:sz w:val="28"/>
          <w:szCs w:val="28"/>
        </w:rPr>
        <w:t xml:space="preserve"> поступлений по  ЗАО  ПИНО по акцизам на 19,1 млн. руб., в связи со снижением объема продаж товара и по НДФЛ на 1,2 млн. рублей.</w:t>
      </w:r>
    </w:p>
    <w:p w:rsidR="00D72147" w:rsidRPr="00AF5DB6" w:rsidRDefault="00D72147" w:rsidP="00016C8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24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94246">
        <w:rPr>
          <w:rFonts w:ascii="Times New Roman" w:eastAsia="Calibri" w:hAnsi="Times New Roman" w:cs="Times New Roman"/>
          <w:b/>
          <w:sz w:val="28"/>
          <w:szCs w:val="28"/>
        </w:rPr>
        <w:t>По отрасли «финансовая деятельность»</w:t>
      </w:r>
      <w:r w:rsidRPr="00794246">
        <w:rPr>
          <w:rFonts w:ascii="Times New Roman" w:eastAsia="Calibri" w:hAnsi="Times New Roman" w:cs="Times New Roman"/>
          <w:sz w:val="28"/>
          <w:szCs w:val="28"/>
        </w:rPr>
        <w:t xml:space="preserve"> по 4 обособленным подразделениям банковской сферы снижение по НДФЛ на 4 млн. рублей и по налогу на прибыль снижение на 12,4 млн. рублей.</w:t>
      </w: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Pr="00016C8B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C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Поступления в бюджет муниципального образования город Новороссийск от хозяйствующих субъектов по отраслям 2016 к 2015 году, в тыс.руб.</w:t>
      </w:r>
      <w:r w:rsidRPr="00016C8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72147" w:rsidRPr="00794246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Pr="00690113" w:rsidRDefault="00D72147" w:rsidP="00016C8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9011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8995" cy="6534150"/>
            <wp:effectExtent l="19050" t="0" r="14605" b="0"/>
            <wp:docPr id="6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Pr="00016C8B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C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Поступления в бюджет муниципального образования город Новороссийск от хозяйствующих субъектов по отраслям 2017 (прогноз) к 2016 году, в тыс.руб.</w:t>
      </w: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147" w:rsidRDefault="00D72147" w:rsidP="00016C8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51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2165" cy="5562600"/>
            <wp:effectExtent l="19050" t="0" r="13335" b="0"/>
            <wp:docPr id="6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72147" w:rsidRDefault="00D72147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68" w:rsidRPr="00C24168" w:rsidRDefault="00C24168" w:rsidP="00016C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C8B" w:rsidRDefault="00016C8B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4168" w:rsidRDefault="00C24168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F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FE7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положение.</w:t>
      </w:r>
    </w:p>
    <w:p w:rsidR="00C24168" w:rsidRPr="00EF6D26" w:rsidRDefault="00C24168" w:rsidP="00016C8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28"/>
        <w:gridCol w:w="992"/>
        <w:gridCol w:w="992"/>
        <w:gridCol w:w="1134"/>
        <w:gridCol w:w="1135"/>
        <w:gridCol w:w="992"/>
        <w:gridCol w:w="851"/>
      </w:tblGrid>
      <w:tr w:rsidR="00C24168" w:rsidRPr="00B36F2A" w:rsidTr="00C2416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B36F2A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B36F2A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B36F2A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168" w:rsidRPr="00B36F2A" w:rsidRDefault="00C24168" w:rsidP="00016C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(оценка)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к, %</w:t>
            </w:r>
          </w:p>
        </w:tc>
      </w:tr>
      <w:tr w:rsidR="00C24168" w:rsidRPr="00B36F2A" w:rsidTr="00C24168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4168" w:rsidRPr="00B36F2A" w:rsidTr="00C241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8" w:rsidRPr="00B36F2A" w:rsidRDefault="00C24168" w:rsidP="00016C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 (по крупным и средним предприятиям), в т.ч. объем частных инвестиций,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A36EC4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A36EC4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A36EC4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36E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A36EC4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8" w:rsidRPr="00A36EC4" w:rsidRDefault="00C24168" w:rsidP="00016C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110,3</w:t>
            </w:r>
          </w:p>
        </w:tc>
      </w:tr>
    </w:tbl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168" w:rsidRDefault="00C24168" w:rsidP="00016C8B">
      <w:pPr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 Новороссийск с 2013 года в активной стадии реализации 29 инвестиционных проектов  с общим объемом инвестиций 97 102,2 млн. рублей и сроком реализации до 2025 года. </w:t>
      </w:r>
    </w:p>
    <w:p w:rsidR="00C24168" w:rsidRDefault="00C24168" w:rsidP="00016C8B">
      <w:pPr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2013 по 2016 год на территории МО г. Новороссийск реализованы 12 инвестиционных проектов с общим объемом инвестиций 19 927 млн. рублей. </w:t>
      </w:r>
    </w:p>
    <w:p w:rsidR="00C24168" w:rsidRDefault="00C24168" w:rsidP="00016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90"/>
        <w:gridCol w:w="3686"/>
        <w:gridCol w:w="1559"/>
      </w:tblGrid>
      <w:tr w:rsidR="00C24168" w:rsidRPr="00A21F8C" w:rsidTr="00C24168">
        <w:trPr>
          <w:trHeight w:val="900"/>
          <w:tblHeader/>
        </w:trPr>
        <w:tc>
          <w:tcPr>
            <w:tcW w:w="540" w:type="dxa"/>
            <w:shd w:val="clear" w:color="000000" w:fill="B8CCE4"/>
            <w:noWrap/>
            <w:vAlign w:val="center"/>
            <w:hideMark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0" w:type="dxa"/>
            <w:shd w:val="clear" w:color="000000" w:fill="B8CCE4"/>
            <w:vAlign w:val="center"/>
            <w:hideMark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Инвесторы</w:t>
            </w:r>
          </w:p>
        </w:tc>
        <w:tc>
          <w:tcPr>
            <w:tcW w:w="3686" w:type="dxa"/>
            <w:shd w:val="clear" w:color="000000" w:fill="B8CCE4"/>
            <w:noWrap/>
            <w:vAlign w:val="center"/>
            <w:hideMark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59" w:type="dxa"/>
            <w:shd w:val="clear" w:color="000000" w:fill="B8CCE4"/>
            <w:vAlign w:val="center"/>
            <w:hideMark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инвестиций, млн.руб.</w:t>
            </w:r>
          </w:p>
        </w:tc>
      </w:tr>
      <w:tr w:rsidR="00C24168" w:rsidRPr="00A21F8C" w:rsidTr="00C24168">
        <w:trPr>
          <w:trHeight w:val="76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  <w:vAlign w:val="center"/>
            <w:hideMark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Витвицкий Павел Иосифович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гостиничного комплекса 4*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24168" w:rsidRPr="00A21F8C" w:rsidTr="00C24168">
        <w:trPr>
          <w:trHeight w:val="1346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"Новострой"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застроенных территорий в границах квартала пр.Ленина-ул.Куникова-ул.Дзержинского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C24168" w:rsidRPr="00A21F8C" w:rsidTr="00C24168">
        <w:trPr>
          <w:trHeight w:val="984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"Новоросметалл"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микрорайона  класса "Luxury"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  <w:bookmarkStart w:id="0" w:name="_GoBack"/>
            <w:bookmarkEnd w:id="0"/>
          </w:p>
        </w:tc>
      </w:tr>
      <w:tr w:rsidR="00C24168" w:rsidRPr="00A21F8C" w:rsidTr="00C24168">
        <w:trPr>
          <w:trHeight w:val="1221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"Портер"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здание торгового назначения по адресу: г.Новороссийск, ул. Коммунистическая 28а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24168" w:rsidRPr="00A21F8C" w:rsidTr="00C24168">
        <w:trPr>
          <w:trHeight w:val="1079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"ТРЮФЕЛЬНАЯ ДОЛИНА"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виноградников и строительство завода по производству вина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</w:t>
            </w:r>
          </w:p>
        </w:tc>
      </w:tr>
      <w:tr w:rsidR="00C24168" w:rsidRPr="00A21F8C" w:rsidTr="00C24168">
        <w:trPr>
          <w:trHeight w:val="1322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"Инвест Групп"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микрорайона "Солнечный" с торгово-развлекательным центром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C24168" w:rsidRPr="00A21F8C" w:rsidTr="00C24168">
        <w:trPr>
          <w:trHeight w:val="1258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"Кубаньжилстрой"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квартала в границах ул.Цедрика-ул.Л.Шмидта-ул.Толстого-ул.Энгельса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C24168" w:rsidRPr="00A21F8C" w:rsidTr="00C24168">
        <w:trPr>
          <w:trHeight w:val="1349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"Кубаньжилстрой"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еконструкция квартала в границах ул.Московская-ул.Индустриальная-ул.Видова-ул.Днепропетровская 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</w:tr>
      <w:tr w:rsidR="00C24168" w:rsidRPr="00A21F8C" w:rsidTr="00C24168">
        <w:trPr>
          <w:trHeight w:val="1210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Керасов Иван Михайлович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гостиничного комплекса с апартаментами офисными помещениями и автостоянкой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24168" w:rsidRPr="00A21F8C" w:rsidTr="00C24168">
        <w:trPr>
          <w:trHeight w:val="707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Маилян Артур Арминакович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микрорайона "Город Золотой"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C24168" w:rsidRPr="00A21F8C" w:rsidTr="00C24168">
        <w:trPr>
          <w:trHeight w:val="775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Демченко Вадим Владимирович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"Алые паруса"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24168" w:rsidRPr="00A21F8C" w:rsidTr="00C24168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"Бизнес Инвест"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микрорайона в районе береговой линии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24168" w:rsidRPr="00A21F8C" w:rsidTr="00C24168">
        <w:trPr>
          <w:trHeight w:val="643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"Сократ"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"Меридиан"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C24168" w:rsidRPr="00A21F8C" w:rsidTr="00C24168">
        <w:trPr>
          <w:trHeight w:val="1079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F02934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акционерное общество "Новороссийский комбинат хлебопродуктов"</w:t>
            </w:r>
          </w:p>
        </w:tc>
        <w:tc>
          <w:tcPr>
            <w:tcW w:w="3686" w:type="dxa"/>
            <w:shd w:val="clear" w:color="auto" w:fill="auto"/>
          </w:tcPr>
          <w:p w:rsidR="00C24168" w:rsidRPr="00F02934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комплекса по хранению и перевалки зерна ПАО "НКХП"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F02934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6 098,0</w:t>
            </w:r>
          </w:p>
        </w:tc>
      </w:tr>
      <w:tr w:rsidR="00C24168" w:rsidRPr="00A21F8C" w:rsidTr="00C24168">
        <w:trPr>
          <w:trHeight w:val="370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Агалоян Ашот Шураевич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комплекса "Кристалл-3"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24168" w:rsidRPr="00A21F8C" w:rsidTr="00C24168">
        <w:trPr>
          <w:trHeight w:val="1204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"Инвестиционно - Строительная Компания "Кристалл"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комплекс со встроенными административными помещениями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C24168" w:rsidRPr="00A21F8C" w:rsidTr="00C24168">
        <w:trPr>
          <w:trHeight w:val="1154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"Администрация морских портов Черного моря"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 - учебное дание ФГБУ "Администрация морских портов Черного моря"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479,8</w:t>
            </w:r>
          </w:p>
        </w:tc>
      </w:tr>
      <w:tr w:rsidR="00C24168" w:rsidRPr="00A21F8C" w:rsidTr="00C24168">
        <w:trPr>
          <w:trHeight w:val="724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Хананаев Зимро Навриилович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жилого комплекса "Жемчужина Мысхако"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C24168" w:rsidRPr="00A21F8C" w:rsidTr="00C24168">
        <w:trPr>
          <w:trHeight w:val="767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"Зерновой терминал "КСК"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Зернового терминала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3 552,0</w:t>
            </w:r>
          </w:p>
        </w:tc>
      </w:tr>
      <w:tr w:rsidR="00C24168" w:rsidRPr="00A21F8C" w:rsidTr="00C24168">
        <w:trPr>
          <w:trHeight w:val="778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"Новороссийский зерновой терминал"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зернового терминала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5 236,0</w:t>
            </w:r>
          </w:p>
        </w:tc>
      </w:tr>
      <w:tr w:rsidR="00C24168" w:rsidRPr="00A21F8C" w:rsidTr="00C24168">
        <w:trPr>
          <w:trHeight w:val="919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Ланчу Юрий Алексеевич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Коттеджный поселок премиум класса "Новое поместье"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C24168" w:rsidRPr="00A21F8C" w:rsidTr="00C24168">
        <w:trPr>
          <w:trHeight w:val="751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"Кубаньжилстрой"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"Зеленый квартал" 1-я очередь строительства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4 578,0</w:t>
            </w:r>
          </w:p>
        </w:tc>
      </w:tr>
      <w:tr w:rsidR="00C24168" w:rsidRPr="00A21F8C" w:rsidTr="00C24168">
        <w:trPr>
          <w:trHeight w:val="620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"Кубаньжилстрой"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"Капитал"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2 129,0</w:t>
            </w:r>
          </w:p>
        </w:tc>
      </w:tr>
      <w:tr w:rsidR="00C24168" w:rsidRPr="00A21F8C" w:rsidTr="00C24168">
        <w:trPr>
          <w:trHeight w:val="1196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"Новороссийский морской торговый порт"</w:t>
            </w:r>
          </w:p>
        </w:tc>
        <w:tc>
          <w:tcPr>
            <w:tcW w:w="3686" w:type="dxa"/>
            <w:shd w:val="clear" w:color="auto" w:fill="auto"/>
          </w:tcPr>
          <w:p w:rsidR="00C24168" w:rsidRPr="00F02934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новое строительство терминального комплекса АО «НЗТ» и пристани №3 ПАО «НМТП»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F02934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8 672,1</w:t>
            </w:r>
          </w:p>
        </w:tc>
      </w:tr>
      <w:tr w:rsidR="00C24168" w:rsidRPr="00F02934" w:rsidTr="00C24168">
        <w:trPr>
          <w:trHeight w:val="1274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F02934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"Новороссийский морской торговый порт"</w:t>
            </w:r>
          </w:p>
        </w:tc>
        <w:tc>
          <w:tcPr>
            <w:tcW w:w="3686" w:type="dxa"/>
            <w:shd w:val="clear" w:color="auto" w:fill="auto"/>
          </w:tcPr>
          <w:p w:rsidR="00C24168" w:rsidRPr="00F02934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специализированного контейнерного терминала АО «НЛЭ»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F02934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2619,6</w:t>
            </w:r>
          </w:p>
        </w:tc>
      </w:tr>
      <w:tr w:rsidR="00C24168" w:rsidRPr="00A21F8C" w:rsidTr="00C24168">
        <w:trPr>
          <w:trHeight w:val="701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"Кубаньжилстрой"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"Зеленый квартал" 2 -я очередь строительства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4 205,0</w:t>
            </w:r>
          </w:p>
        </w:tc>
      </w:tr>
      <w:tr w:rsidR="00C24168" w:rsidRPr="00A21F8C" w:rsidTr="00C24168">
        <w:trPr>
          <w:trHeight w:val="1221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"Ромекс - Кубань Юг"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2 - ой очереди Торгового центра: Вторая очередь мегацента "Красная площадь"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1 844,0</w:t>
            </w:r>
          </w:p>
        </w:tc>
      </w:tr>
      <w:tr w:rsidR="00C24168" w:rsidRPr="00A21F8C" w:rsidTr="00C24168">
        <w:trPr>
          <w:trHeight w:val="1221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унитарное предприятие "Росморпорт"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пассажирских причалов №34, № 34А Каботажного мола в порту Новороссийск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</w:tr>
      <w:tr w:rsidR="00C24168" w:rsidRPr="00A21F8C" w:rsidTr="00C24168">
        <w:trPr>
          <w:trHeight w:val="434"/>
        </w:trPr>
        <w:tc>
          <w:tcPr>
            <w:tcW w:w="540" w:type="dxa"/>
            <w:shd w:val="clear" w:color="auto" w:fill="auto"/>
            <w:noWrap/>
            <w:vAlign w:val="center"/>
          </w:tcPr>
          <w:p w:rsidR="00C24168" w:rsidRPr="00F02934" w:rsidRDefault="00C24168" w:rsidP="00016C8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"Кубаньжилстрой"</w:t>
            </w:r>
          </w:p>
        </w:tc>
        <w:tc>
          <w:tcPr>
            <w:tcW w:w="3686" w:type="dxa"/>
            <w:shd w:val="clear" w:color="auto" w:fill="auto"/>
          </w:tcPr>
          <w:p w:rsidR="00C24168" w:rsidRPr="00A21F8C" w:rsidRDefault="00C24168" w:rsidP="00016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"Суворовский" 3 - я очередь</w:t>
            </w:r>
          </w:p>
        </w:tc>
        <w:tc>
          <w:tcPr>
            <w:tcW w:w="1559" w:type="dxa"/>
            <w:shd w:val="clear" w:color="auto" w:fill="auto"/>
            <w:noWrap/>
          </w:tcPr>
          <w:p w:rsidR="00C24168" w:rsidRPr="00A21F8C" w:rsidRDefault="00C24168" w:rsidP="00016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2 372,0</w:t>
            </w:r>
          </w:p>
        </w:tc>
      </w:tr>
    </w:tbl>
    <w:p w:rsidR="00016C8B" w:rsidRDefault="00016C8B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По объему инвестиций в основной капитал Новороссийск занимает 3-е место среди муниципальных образований Краснодарского края. В рейтинге муниципальных образований Краснодарского края Новороссийск вошел в пятерку лидеров среди муниципальных образований по инвестиционному развитию.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города и привлечения инвестиций являются: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- развитие портового хозяйства города в целях создания на юге России крупного международного транспортного узла с передовой портовой технологией, развитой транспортной и социальной инфраструктурой;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- развитие санаторно-курортной отрасли;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- наращивание мощностей и увеличение объемов производства промышленного комплекса города;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- жилищное строительство.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lastRenderedPageBreak/>
        <w:t>В 2016 году продолжилась реализация проекта АО «Черномортранснефть» «Проект ЮГ» (1 этап), в рамках которого завершены строительно-монтажные и пуско-наладочные работы нового нефтепровода.</w:t>
      </w:r>
    </w:p>
    <w:p w:rsidR="00C2416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>Ведется реализация  проекта по расширению трубопроводной системы КТК и увеличению пропускной способности трубопровода «Тенгиз-Новороссийск», по итогам в 2016 году планируется увеличить объём перевалки нефти через терминал КТК до 45,8 млн. тонн.</w:t>
      </w:r>
    </w:p>
    <w:p w:rsidR="00C24168" w:rsidRPr="00584688" w:rsidRDefault="00C24168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Реализуются проекты </w:t>
      </w:r>
      <w:r w:rsidRPr="00584688">
        <w:rPr>
          <w:rFonts w:ascii="Times New Roman" w:hAnsi="Times New Roman" w:cs="Times New Roman"/>
          <w:sz w:val="28"/>
          <w:szCs w:val="28"/>
        </w:rPr>
        <w:t xml:space="preserve">реконструкции объектов Новороссийского морского порта – реконструкция терминала АО «НЛЭ», модернизация и строительство терминального комплекса зернового терминала, реконструкция пассажирских причалов № 34, № 34А Каботажного мола в порту Новороссийск и их последующая эксплуатация для обслуживания круизных лайнеров. Реализация проекта позволит создать благоприятные условия для дальнейшего развития пассажирских перевозок в Азово-Черноморском бассейне, а также будет способствовать развитию туристического кластера в Новороссийске. </w:t>
      </w:r>
    </w:p>
    <w:p w:rsidR="00C24168" w:rsidRPr="00584688" w:rsidRDefault="00C2416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88">
        <w:rPr>
          <w:rFonts w:ascii="Times New Roman" w:hAnsi="Times New Roman" w:cs="Times New Roman"/>
          <w:sz w:val="28"/>
          <w:szCs w:val="28"/>
        </w:rPr>
        <w:t xml:space="preserve">В 2016 году успешно реализованы проекты ПАО «Новороссийский морской торговый порт» - «Реконструкция нефтерайона Шесхарис», ЗАО «Абрау-Дюрсо» - «Развитие производства шампанских и игристых вин», </w:t>
      </w:r>
      <w:r>
        <w:rPr>
          <w:rFonts w:ascii="Times New Roman" w:hAnsi="Times New Roman" w:cs="Times New Roman"/>
          <w:sz w:val="28"/>
          <w:szCs w:val="28"/>
        </w:rPr>
        <w:t xml:space="preserve">возведен </w:t>
      </w:r>
      <w:r w:rsidRPr="00584688">
        <w:rPr>
          <w:rFonts w:ascii="Times New Roman" w:hAnsi="Times New Roman" w:cs="Times New Roman"/>
          <w:sz w:val="28"/>
          <w:szCs w:val="28"/>
        </w:rPr>
        <w:t>жилищный комплекс «Кристалл»</w:t>
      </w:r>
      <w:r>
        <w:rPr>
          <w:rFonts w:ascii="Times New Roman" w:hAnsi="Times New Roman" w:cs="Times New Roman"/>
          <w:sz w:val="28"/>
          <w:szCs w:val="28"/>
        </w:rPr>
        <w:t xml:space="preserve"> и начала работу  </w:t>
      </w:r>
      <w:r w:rsidRPr="00584688">
        <w:rPr>
          <w:rFonts w:ascii="Times New Roman" w:hAnsi="Times New Roman" w:cs="Times New Roman"/>
          <w:sz w:val="28"/>
          <w:szCs w:val="28"/>
        </w:rPr>
        <w:t xml:space="preserve">винодельня и ресторан «Винотеррия». </w:t>
      </w:r>
    </w:p>
    <w:p w:rsidR="00C24168" w:rsidRDefault="00C24168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68" w:rsidRPr="009C7FE7" w:rsidRDefault="00C24168" w:rsidP="00016C8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E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рынков.</w:t>
      </w:r>
    </w:p>
    <w:p w:rsidR="00C24168" w:rsidRPr="00C24168" w:rsidRDefault="00C24168" w:rsidP="00016C8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7B" w:rsidRPr="00227496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2.3.1. Р</w:t>
      </w:r>
      <w:r w:rsidR="00ED607B" w:rsidRPr="00227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дошкольного образования.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496" w:rsidRDefault="00227496" w:rsidP="00016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Система дошкольного образования города Новороссийска представлена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58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 образовательными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 организациями, реализующими программы дошкольного образования.</w:t>
      </w:r>
    </w:p>
    <w:p w:rsidR="00227496" w:rsidRPr="002C498C" w:rsidRDefault="00227496" w:rsidP="00016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E54A6A">
        <w:rPr>
          <w:rFonts w:ascii="Times New Roman" w:hAnsi="Times New Roman"/>
          <w:spacing w:val="-6"/>
          <w:kern w:val="16"/>
          <w:sz w:val="27"/>
          <w:szCs w:val="28"/>
        </w:rPr>
        <w:t>Общий объем услуг образования в объеме платных услуг населению по полном</w:t>
      </w:r>
      <w:r>
        <w:rPr>
          <w:rFonts w:ascii="Times New Roman" w:hAnsi="Times New Roman"/>
          <w:spacing w:val="-6"/>
          <w:kern w:val="16"/>
          <w:sz w:val="27"/>
          <w:szCs w:val="28"/>
        </w:rPr>
        <w:t>у кругу организаций составляет 7</w:t>
      </w:r>
      <w:r w:rsidRPr="00E54A6A">
        <w:rPr>
          <w:rFonts w:ascii="Times New Roman" w:hAnsi="Times New Roman"/>
          <w:spacing w:val="-6"/>
          <w:kern w:val="16"/>
          <w:sz w:val="27"/>
          <w:szCs w:val="28"/>
        </w:rPr>
        <w:t>,7%.</w:t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35461C">
        <w:rPr>
          <w:rFonts w:ascii="Times New Roman" w:hAnsi="Times New Roman"/>
          <w:spacing w:val="-6"/>
          <w:kern w:val="16"/>
          <w:sz w:val="27"/>
          <w:szCs w:val="28"/>
        </w:rPr>
        <w:t xml:space="preserve">Население в целом оценивает </w:t>
      </w:r>
      <w:r w:rsidRPr="0028504A">
        <w:rPr>
          <w:rFonts w:ascii="Times New Roman" w:hAnsi="Times New Roman"/>
          <w:i/>
          <w:spacing w:val="-6"/>
          <w:kern w:val="16"/>
          <w:sz w:val="27"/>
          <w:szCs w:val="28"/>
        </w:rPr>
        <w:t>количество дошкольных организаций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 как </w:t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rFonts w:ascii="Times New Roman" w:hAnsi="Times New Roman"/>
          <w:spacing w:val="-6"/>
          <w:kern w:val="16"/>
          <w:sz w:val="27"/>
          <w:szCs w:val="28"/>
        </w:rPr>
        <w:t>«мало» - 18 %, «достаточно»- 60%, « избыточно» - 20%, «отсутствуют»-2%</w:t>
      </w:r>
    </w:p>
    <w:p w:rsidR="00227496" w:rsidRPr="0035461C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9503" cy="3145972"/>
            <wp:effectExtent l="19050" t="0" r="9797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rFonts w:ascii="Times New Roman" w:hAnsi="Times New Roman"/>
          <w:i/>
          <w:spacing w:val="-6"/>
          <w:kern w:val="16"/>
          <w:sz w:val="27"/>
          <w:szCs w:val="28"/>
        </w:rPr>
        <w:t>К</w:t>
      </w:r>
      <w:r w:rsidRPr="0028504A">
        <w:rPr>
          <w:rFonts w:ascii="Times New Roman" w:hAnsi="Times New Roman"/>
          <w:i/>
          <w:spacing w:val="-6"/>
          <w:kern w:val="16"/>
          <w:sz w:val="27"/>
          <w:szCs w:val="28"/>
        </w:rPr>
        <w:t xml:space="preserve">ачество услуг 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дошкольного 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образования </w:t>
      </w:r>
      <w:r>
        <w:rPr>
          <w:rFonts w:ascii="Times New Roman" w:hAnsi="Times New Roman"/>
          <w:spacing w:val="-6"/>
          <w:kern w:val="16"/>
          <w:sz w:val="27"/>
          <w:szCs w:val="28"/>
        </w:rPr>
        <w:t>н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>аселение</w:t>
      </w:r>
      <w:r>
        <w:rPr>
          <w:rFonts w:ascii="Times New Roman" w:hAnsi="Times New Roman"/>
          <w:spacing w:val="-6"/>
          <w:kern w:val="16"/>
          <w:sz w:val="27"/>
          <w:szCs w:val="28"/>
        </w:rPr>
        <w:t>м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 в целом оценивает</w:t>
      </w:r>
      <w:r>
        <w:rPr>
          <w:rFonts w:ascii="Times New Roman" w:hAnsi="Times New Roman"/>
          <w:spacing w:val="-6"/>
          <w:kern w:val="16"/>
          <w:sz w:val="27"/>
          <w:szCs w:val="28"/>
        </w:rPr>
        <w:t>ся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>, как "</w:t>
      </w:r>
      <w:r>
        <w:rPr>
          <w:rFonts w:ascii="Times New Roman" w:hAnsi="Times New Roman"/>
          <w:spacing w:val="-6"/>
          <w:kern w:val="16"/>
          <w:sz w:val="27"/>
          <w:szCs w:val="28"/>
        </w:rPr>
        <w:t>удовлетворительно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" – 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80 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% </w:t>
      </w:r>
      <w:r>
        <w:rPr>
          <w:rFonts w:ascii="Times New Roman" w:hAnsi="Times New Roman"/>
          <w:spacing w:val="-6"/>
          <w:kern w:val="16"/>
          <w:sz w:val="27"/>
          <w:szCs w:val="28"/>
        </w:rPr>
        <w:t>, « Скорее удовлетворительно»- 16 %, «скорее неудовлетворительно»- 3</w:t>
      </w:r>
      <w:r w:rsidRPr="00380778">
        <w:rPr>
          <w:rFonts w:ascii="Times New Roman" w:hAnsi="Times New Roman"/>
          <w:spacing w:val="-6"/>
          <w:kern w:val="16"/>
          <w:sz w:val="27"/>
          <w:szCs w:val="28"/>
        </w:rPr>
        <w:t>%</w:t>
      </w:r>
      <w:r>
        <w:rPr>
          <w:rFonts w:ascii="Times New Roman" w:hAnsi="Times New Roman"/>
          <w:spacing w:val="-6"/>
          <w:kern w:val="16"/>
          <w:sz w:val="27"/>
          <w:szCs w:val="28"/>
        </w:rPr>
        <w:t>, «не удовлетворительно»-1%</w:t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Default="00227496" w:rsidP="00016C8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7496" w:rsidRPr="002C498C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Конкурентная среда в сфере дошкольного образования характеризуется доминированием муниципальных образовательных организаций.</w:t>
      </w:r>
    </w:p>
    <w:p w:rsidR="00227496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Доля негосударственных организаций дошкольного образования, предоставляющих услуги дошкольного образования в общей численности образовательных организаций дошко</w:t>
      </w:r>
      <w:r>
        <w:rPr>
          <w:rFonts w:ascii="Times New Roman" w:hAnsi="Times New Roman"/>
          <w:spacing w:val="-6"/>
          <w:kern w:val="16"/>
          <w:sz w:val="27"/>
          <w:szCs w:val="28"/>
        </w:rPr>
        <w:t>льного образования на 01.01.2017 г., составила 3,3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 %.</w:t>
      </w:r>
    </w:p>
    <w:p w:rsidR="00227496" w:rsidRPr="002C498C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Охват детей услугами дошкольного образования негосударственных дошкольных образовательных организаций (отношение численности детей в возрасте 1 – 7 лет, посещающих негосударственные организации дошкольного 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lastRenderedPageBreak/>
        <w:t>образования к общей численности детей в во</w:t>
      </w:r>
      <w:r>
        <w:rPr>
          <w:rFonts w:ascii="Times New Roman" w:hAnsi="Times New Roman"/>
          <w:spacing w:val="-6"/>
          <w:kern w:val="16"/>
          <w:sz w:val="27"/>
          <w:szCs w:val="28"/>
        </w:rPr>
        <w:t>зрасте 1 - 7 лет) по итогам 2016 года составил 3,5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 %.</w:t>
      </w:r>
    </w:p>
    <w:p w:rsidR="00227496" w:rsidRPr="002C498C" w:rsidRDefault="00227496" w:rsidP="00016C8B">
      <w:pPr>
        <w:widowControl w:val="0"/>
        <w:tabs>
          <w:tab w:val="left" w:pos="32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Количество хозяйствующих субъектов, предоставляющих услуги в негосударственном секторе дошкольного о</w:t>
      </w:r>
      <w:r>
        <w:rPr>
          <w:rFonts w:ascii="Times New Roman" w:hAnsi="Times New Roman"/>
          <w:spacing w:val="-6"/>
          <w:kern w:val="16"/>
          <w:sz w:val="27"/>
          <w:szCs w:val="28"/>
        </w:rPr>
        <w:t>бразования на сегодняшний день 2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, имеющее лицензию на образовательную деятельность.</w:t>
      </w:r>
    </w:p>
    <w:p w:rsidR="00227496" w:rsidRPr="002C498C" w:rsidRDefault="00227496" w:rsidP="00016C8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Вместе с тем, развитие конкуренции на рынке поставщиков в сфере дошкольного образования развивается активно. Спрос на услуги и по дошкольному образованию и по присмотру и уходу удовлетворен не в полной мере (количество муниципальных и государственных дошкольных организаций недостаточное).</w:t>
      </w:r>
    </w:p>
    <w:p w:rsidR="00227496" w:rsidRPr="002C498C" w:rsidRDefault="00227496" w:rsidP="00016C8B">
      <w:pPr>
        <w:widowControl w:val="0"/>
        <w:tabs>
          <w:tab w:val="left" w:pos="32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rFonts w:ascii="Times New Roman" w:hAnsi="Times New Roman"/>
          <w:spacing w:val="-6"/>
          <w:kern w:val="16"/>
          <w:sz w:val="27"/>
          <w:szCs w:val="28"/>
        </w:rPr>
        <w:t>В 2016</w:t>
      </w:r>
      <w:r w:rsidRPr="00E54A6A">
        <w:rPr>
          <w:rFonts w:ascii="Times New Roman" w:hAnsi="Times New Roman"/>
          <w:spacing w:val="-6"/>
          <w:kern w:val="16"/>
          <w:sz w:val="27"/>
          <w:szCs w:val="28"/>
        </w:rPr>
        <w:t xml:space="preserve"> году группы, организованные индивидуальными предпринимателями, функционировали в муниципальном образовании г. Новороссийск. В этих группах по присмотру и уходу за детьми, организованных 102 предпринимателями, воспитывались более 1224 ребенка.</w:t>
      </w:r>
    </w:p>
    <w:p w:rsidR="00227496" w:rsidRPr="002C498C" w:rsidRDefault="00227496" w:rsidP="00016C8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В Общероссийском классификаторе видов экономической деятельности (далее – ОКВЭД) образовательная услуга и услуга по присмотру и уходу имеют разные коды. Индивидуальные предприниматели осуществляют услугу по присмотру и уходу за детьми дошкольного возраста. Однако услуга "присмотр и уход" отсутствует в ОКВЭД и индивидуальные предприниматели осуществляют услугу по "дневному уходу за детьми", которая относится к "социальным услугам". </w:t>
      </w:r>
    </w:p>
    <w:p w:rsidR="00227496" w:rsidRPr="002C498C" w:rsidRDefault="00227496" w:rsidP="00016C8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Несмотря на то, что в Федеральном законе от 29.12.2012 № 273-ФЗ "Об образовании в Российской Федерации" и в ОКВЭД говорится о двух услугах в системе дошкольного образования, однако ни в одном нормативном правовом акте нет четкого разделения содержания этих услуг. Соответственно, не определен порядок оказания услуги по присмотру и уходу, а также ресурсное обеспечение и полномочия по его исполнению. </w:t>
      </w:r>
    </w:p>
    <w:p w:rsidR="00227496" w:rsidRPr="002C498C" w:rsidRDefault="00227496" w:rsidP="00016C8B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Как следствие мониторинг условий ценовой политики свидетельствует, что в государственных и муниципальных организациях размер платы потребителей (родителей) составляет от </w:t>
      </w:r>
      <w:r>
        <w:rPr>
          <w:rFonts w:ascii="Times New Roman" w:hAnsi="Times New Roman"/>
          <w:spacing w:val="-6"/>
          <w:kern w:val="16"/>
          <w:sz w:val="27"/>
          <w:szCs w:val="28"/>
        </w:rPr>
        <w:t>1650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 до 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1940 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 рублей, в негосударственных организациях от 10 000 до 28 000 рублей.</w:t>
      </w:r>
    </w:p>
    <w:p w:rsidR="00227496" w:rsidRPr="002C498C" w:rsidRDefault="00227496" w:rsidP="00016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В соответствии с законом РФ "Об образовании в Российской Федерации" частным общеобразовательным организациям предоставляется субсидия из краевого бюджета на возмещение затрат, связанных с предоставлением дошкольного образования. 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1944CC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227496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7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2.3.2. Р</w:t>
      </w:r>
      <w:r w:rsidR="00ED607B" w:rsidRPr="00227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детского отдыха и оздоровления.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496" w:rsidRDefault="00227496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85">
        <w:rPr>
          <w:rFonts w:ascii="Times New Roman" w:hAnsi="Times New Roman" w:cs="Times New Roman"/>
          <w:sz w:val="28"/>
          <w:szCs w:val="28"/>
        </w:rPr>
        <w:t xml:space="preserve">За 2016 год объем оказанных услуг организациями санаторно-курортного комплекса составил более 695 млн. руб., с темпом роста 210% к аналогичному периоду 2015 года (2015 – более 331 млн. руб.). По рейтингу Минэкономики КК муниципальное образование город Новороссийск занимает 6 место по санаторно-курортному комплексу среди муниципальных образований Краснодарского края, в 2015 – 9 место. </w:t>
      </w:r>
      <w:r>
        <w:rPr>
          <w:rFonts w:ascii="Times New Roman" w:hAnsi="Times New Roman"/>
          <w:spacing w:val="-6"/>
          <w:kern w:val="16"/>
          <w:sz w:val="27"/>
          <w:szCs w:val="28"/>
          <w:lang w:eastAsia="ru-RU"/>
        </w:rPr>
        <w:t xml:space="preserve">Объем оказываемых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36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 детского отдыха и оздоровления</w:t>
      </w:r>
      <w:r>
        <w:rPr>
          <w:rFonts w:ascii="Times New Roman" w:hAnsi="Times New Roman"/>
          <w:spacing w:val="-6"/>
          <w:kern w:val="16"/>
          <w:sz w:val="27"/>
          <w:szCs w:val="28"/>
          <w:lang w:eastAsia="ru-RU"/>
        </w:rPr>
        <w:t xml:space="preserve"> составляет 15% от общего объема услуг. В течении года воспользовались услугами детского оздоровления более 6300 человек.</w:t>
      </w:r>
    </w:p>
    <w:p w:rsidR="00227496" w:rsidRPr="00DA4759" w:rsidRDefault="00227496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6"/>
          <w:sz w:val="27"/>
          <w:szCs w:val="28"/>
          <w:u w:val="single"/>
        </w:rPr>
      </w:pP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Проведенный социологический опрос на территории </w:t>
      </w:r>
      <w:r w:rsidRPr="00484A56">
        <w:rPr>
          <w:rFonts w:ascii="Times New Roman" w:hAnsi="Times New Roman" w:cs="Times New Roman"/>
          <w:spacing w:val="-6"/>
          <w:kern w:val="16"/>
          <w:sz w:val="27"/>
          <w:szCs w:val="28"/>
        </w:rPr>
        <w:t>города Новороссийска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</w:t>
      </w:r>
      <w:r w:rsidRPr="00484A56">
        <w:rPr>
          <w:rFonts w:ascii="Times New Roman" w:hAnsi="Times New Roman" w:cs="Times New Roman"/>
          <w:spacing w:val="-6"/>
          <w:kern w:val="16"/>
          <w:sz w:val="27"/>
          <w:szCs w:val="28"/>
        </w:rPr>
        <w:t>на тему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: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</w:t>
      </w:r>
      <w:r w:rsidRPr="00484A56">
        <w:rPr>
          <w:rFonts w:ascii="Times New Roman" w:hAnsi="Times New Roman" w:cs="Times New Roman"/>
          <w:spacing w:val="-6"/>
          <w:kern w:val="16"/>
          <w:sz w:val="27"/>
          <w:szCs w:val="28"/>
        </w:rPr>
        <w:t>«Как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оцениваете качество детского оздоровительного комплекса 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lastRenderedPageBreak/>
        <w:t>"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Удовлетворен"– 65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>%. "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Скорее удовлетворен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>" к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оличество отметили - 17,5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% 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респондентов, 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14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>%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- 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>респондентов отметили "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Скорее не удовлетворен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" 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количество,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«Не удовлетворен» -3,5%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>.</w:t>
      </w:r>
    </w:p>
    <w:p w:rsidR="00227496" w:rsidRPr="00DA4759" w:rsidRDefault="00227496" w:rsidP="00016C8B">
      <w:pPr>
        <w:spacing w:after="0" w:line="240" w:lineRule="auto"/>
        <w:jc w:val="both"/>
        <w:rPr>
          <w:rFonts w:ascii="Times New Roman" w:hAnsi="Times New Roman" w:cs="Times New Roman"/>
          <w:spacing w:val="-6"/>
          <w:kern w:val="16"/>
          <w:sz w:val="27"/>
          <w:szCs w:val="28"/>
          <w:highlight w:val="lightGray"/>
        </w:rPr>
      </w:pPr>
      <w:r>
        <w:rPr>
          <w:rFonts w:ascii="Times New Roman" w:hAnsi="Times New Roman" w:cs="Times New Roman"/>
          <w:noProof/>
          <w:spacing w:val="-6"/>
          <w:kern w:val="16"/>
          <w:sz w:val="27"/>
          <w:szCs w:val="28"/>
          <w:lang w:eastAsia="ru-RU"/>
        </w:rPr>
        <w:drawing>
          <wp:inline distT="0" distB="0" distL="0" distR="0">
            <wp:extent cx="5823858" cy="2819400"/>
            <wp:effectExtent l="0" t="0" r="0" b="0"/>
            <wp:docPr id="2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7496" w:rsidRPr="00DA4759" w:rsidRDefault="00227496" w:rsidP="00016C8B">
      <w:pPr>
        <w:spacing w:after="0" w:line="240" w:lineRule="auto"/>
        <w:jc w:val="both"/>
        <w:rPr>
          <w:rFonts w:ascii="Times New Roman" w:hAnsi="Times New Roman" w:cs="Times New Roman"/>
          <w:spacing w:val="-6"/>
          <w:kern w:val="16"/>
          <w:sz w:val="27"/>
          <w:szCs w:val="28"/>
          <w:highlight w:val="lightGray"/>
        </w:rPr>
      </w:pPr>
    </w:p>
    <w:p w:rsidR="00227496" w:rsidRPr="00DA4759" w:rsidRDefault="00227496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6"/>
          <w:sz w:val="27"/>
          <w:szCs w:val="28"/>
        </w:rPr>
      </w:pP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Работой детского оздоровительного комплекса на территории муниципального образования город Новороссийск 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>в целом оце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нили следующим образом – 65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% респондентов указали </w:t>
      </w:r>
      <w:r w:rsidRPr="00A57899">
        <w:rPr>
          <w:rFonts w:ascii="Times New Roman" w:hAnsi="Times New Roman" w:cs="Times New Roman"/>
          <w:spacing w:val="-6"/>
          <w:kern w:val="16"/>
          <w:sz w:val="27"/>
          <w:szCs w:val="28"/>
        </w:rPr>
        <w:t>«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Удовлетворены</w:t>
      </w:r>
      <w:r w:rsidRPr="00A57899">
        <w:rPr>
          <w:rFonts w:ascii="Times New Roman" w:hAnsi="Times New Roman" w:cs="Times New Roman"/>
          <w:spacing w:val="-6"/>
          <w:kern w:val="16"/>
          <w:sz w:val="27"/>
          <w:szCs w:val="28"/>
        </w:rPr>
        <w:t>», 16</w:t>
      </w:r>
      <w:r w:rsidRPr="000A1B6F">
        <w:rPr>
          <w:rFonts w:ascii="Times New Roman" w:hAnsi="Times New Roman" w:cs="Times New Roman"/>
          <w:spacing w:val="-6"/>
          <w:kern w:val="16"/>
          <w:sz w:val="27"/>
          <w:szCs w:val="28"/>
        </w:rPr>
        <w:t>,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5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% – </w:t>
      </w:r>
      <w:r w:rsidRPr="00A57899">
        <w:rPr>
          <w:rFonts w:ascii="Times New Roman" w:hAnsi="Times New Roman" w:cs="Times New Roman"/>
          <w:spacing w:val="-6"/>
          <w:kern w:val="16"/>
          <w:sz w:val="27"/>
          <w:szCs w:val="28"/>
        </w:rPr>
        <w:t>«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Скорее не удовлетворены», 14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% – 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«не удовлетворены», и 3</w:t>
      </w:r>
      <w:r w:rsidRPr="000A1B6F">
        <w:rPr>
          <w:rFonts w:ascii="Times New Roman" w:hAnsi="Times New Roman" w:cs="Times New Roman"/>
          <w:spacing w:val="-6"/>
          <w:kern w:val="16"/>
          <w:sz w:val="27"/>
          <w:szCs w:val="28"/>
        </w:rPr>
        <w:t>,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5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% </w:t>
      </w:r>
      <w:r w:rsidRPr="00A57899">
        <w:rPr>
          <w:rFonts w:ascii="Times New Roman" w:hAnsi="Times New Roman" w:cs="Times New Roman"/>
          <w:spacing w:val="-6"/>
          <w:kern w:val="16"/>
          <w:sz w:val="27"/>
          <w:szCs w:val="28"/>
        </w:rPr>
        <w:t>-</w:t>
      </w:r>
      <w:r w:rsidRPr="00DA4759"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</w:t>
      </w:r>
      <w:r w:rsidRPr="00A57899">
        <w:rPr>
          <w:rFonts w:ascii="Times New Roman" w:hAnsi="Times New Roman" w:cs="Times New Roman"/>
          <w:spacing w:val="-6"/>
          <w:kern w:val="16"/>
          <w:sz w:val="27"/>
          <w:szCs w:val="28"/>
        </w:rPr>
        <w:t>«скорее удовлетворены».</w:t>
      </w:r>
    </w:p>
    <w:p w:rsidR="00227496" w:rsidRPr="00DA4759" w:rsidRDefault="00227496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6"/>
          <w:sz w:val="27"/>
          <w:szCs w:val="28"/>
          <w:highlight w:val="lightGray"/>
        </w:rPr>
      </w:pPr>
    </w:p>
    <w:p w:rsidR="00227496" w:rsidRPr="000A1B6F" w:rsidRDefault="00227496" w:rsidP="00016C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A1B6F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муниципального образования город Новороссийск расположено более 100 объектов санаторно-курортного, оздоровительного и гостиничного комплекса, общей вместимостью 9024 койко-мест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 том числе  </w:t>
      </w:r>
      <w:r w:rsidRPr="000A1B6F">
        <w:rPr>
          <w:rFonts w:ascii="Times New Roman" w:eastAsia="SimSun" w:hAnsi="Times New Roman" w:cs="Times New Roman"/>
          <w:sz w:val="28"/>
          <w:szCs w:val="28"/>
          <w:lang w:eastAsia="zh-CN"/>
        </w:rPr>
        <w:t>7 детских и принимающих организованные группы 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етей здравниц (2100 койко-мест).</w:t>
      </w:r>
    </w:p>
    <w:p w:rsidR="00227496" w:rsidRDefault="00227496" w:rsidP="00016C8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kern w:val="16"/>
          <w:sz w:val="27"/>
          <w:szCs w:val="28"/>
        </w:rPr>
      </w:pP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Ежегодно все детские лагеря и здравницы принимающие организованные группы детей предоставляют в администрацию муниципального образования город Новороссийск планы по подготовке к летнему оздоровительному сезону. Дополнительно в планы мероприятий входят и проекты по модернизации и улучшению  инфораструктуры.</w:t>
      </w:r>
    </w:p>
    <w:p w:rsidR="00ED607B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>Большинство респондетов довольны  качеством предоставляемых услуг детского отдыха</w:t>
      </w:r>
      <w:r w:rsidRPr="005B7D61">
        <w:rPr>
          <w:rFonts w:ascii="Times New Roman" w:hAnsi="Times New Roman" w:cs="Times New Roman"/>
          <w:spacing w:val="-6"/>
          <w:kern w:val="16"/>
          <w:sz w:val="27"/>
          <w:szCs w:val="28"/>
        </w:rPr>
        <w:t>,</w:t>
      </w:r>
      <w:r>
        <w:rPr>
          <w:rFonts w:ascii="Times New Roman" w:hAnsi="Times New Roman" w:cs="Times New Roman"/>
          <w:spacing w:val="-6"/>
          <w:kern w:val="16"/>
          <w:sz w:val="27"/>
          <w:szCs w:val="28"/>
        </w:rPr>
        <w:t xml:space="preserve"> но дополнительное улучшение инфраструктуры данных объектов позволило бы улучшить общую оценку работы.</w:t>
      </w:r>
    </w:p>
    <w:p w:rsidR="00227496" w:rsidRPr="001944CC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227496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7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2.3.3. Р</w:t>
      </w:r>
      <w:r w:rsidR="00ED607B" w:rsidRPr="002274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дополнительного образования детей.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496" w:rsidRPr="0035461C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C523A2">
        <w:rPr>
          <w:rFonts w:ascii="Times New Roman" w:hAnsi="Times New Roman"/>
          <w:i/>
          <w:spacing w:val="-6"/>
          <w:kern w:val="16"/>
          <w:sz w:val="27"/>
          <w:szCs w:val="28"/>
        </w:rPr>
        <w:t>Количество организаций дополнительного образования</w:t>
      </w:r>
      <w:r>
        <w:rPr>
          <w:rFonts w:ascii="Times New Roman" w:hAnsi="Times New Roman"/>
          <w:i/>
          <w:spacing w:val="-6"/>
          <w:kern w:val="16"/>
          <w:sz w:val="27"/>
          <w:szCs w:val="28"/>
        </w:rPr>
        <w:t xml:space="preserve"> как </w:t>
      </w:r>
      <w:r>
        <w:rPr>
          <w:rFonts w:ascii="Times New Roman" w:hAnsi="Times New Roman"/>
          <w:spacing w:val="-6"/>
          <w:kern w:val="16"/>
          <w:sz w:val="27"/>
          <w:szCs w:val="28"/>
        </w:rPr>
        <w:t>«мало» - 13,9 %, «достаточно»- 60,3%, « избыточно» - 24,9%, «отсутствуют»-0,9%</w:t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Pr="00E7586E" w:rsidRDefault="00227496" w:rsidP="00016C8B">
      <w:pPr>
        <w:spacing w:after="0" w:line="240" w:lineRule="auto"/>
        <w:rPr>
          <w:rFonts w:ascii="Times New Roman" w:hAnsi="Times New Roman"/>
          <w:spacing w:val="-6"/>
          <w:kern w:val="16"/>
          <w:sz w:val="27"/>
          <w:szCs w:val="28"/>
        </w:rPr>
      </w:pPr>
      <w:r w:rsidRPr="00C523A2">
        <w:rPr>
          <w:rFonts w:ascii="Times New Roman" w:hAnsi="Times New Roman"/>
          <w:i/>
          <w:spacing w:val="-6"/>
          <w:kern w:val="16"/>
          <w:sz w:val="27"/>
          <w:szCs w:val="28"/>
        </w:rPr>
        <w:t xml:space="preserve">Качество  услуг  дополнительного  образования: 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 xml:space="preserve">как "удовлетворительно" – </w:t>
      </w:r>
      <w:r>
        <w:rPr>
          <w:rFonts w:ascii="Times New Roman" w:hAnsi="Times New Roman"/>
          <w:spacing w:val="-6"/>
          <w:kern w:val="16"/>
          <w:sz w:val="27"/>
          <w:szCs w:val="28"/>
        </w:rPr>
        <w:t>72,7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 xml:space="preserve">% , « Скорее удовлетворительно»- </w:t>
      </w:r>
      <w:r>
        <w:rPr>
          <w:rFonts w:ascii="Times New Roman" w:hAnsi="Times New Roman"/>
          <w:spacing w:val="-6"/>
          <w:kern w:val="16"/>
          <w:sz w:val="27"/>
          <w:szCs w:val="28"/>
        </w:rPr>
        <w:t>17,6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 xml:space="preserve">%, «скорее не удовлетворительно» - </w:t>
      </w:r>
      <w:r>
        <w:rPr>
          <w:rFonts w:ascii="Times New Roman" w:hAnsi="Times New Roman"/>
          <w:spacing w:val="-6"/>
          <w:kern w:val="16"/>
          <w:sz w:val="27"/>
          <w:szCs w:val="28"/>
        </w:rPr>
        <w:t>7,1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>%, «не удовлетворительно»-</w:t>
      </w:r>
      <w:r>
        <w:rPr>
          <w:rFonts w:ascii="Times New Roman" w:hAnsi="Times New Roman"/>
          <w:spacing w:val="-6"/>
          <w:kern w:val="16"/>
          <w:sz w:val="27"/>
          <w:szCs w:val="28"/>
        </w:rPr>
        <w:t>2,6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>%</w:t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Default="00227496" w:rsidP="00016C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0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6C8B" w:rsidRDefault="00016C8B" w:rsidP="00016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Pr="003B1BE1" w:rsidRDefault="00227496" w:rsidP="00016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Система </w:t>
      </w:r>
      <w:r w:rsidRPr="00B369BB">
        <w:rPr>
          <w:rFonts w:ascii="Times New Roman" w:hAnsi="Times New Roman"/>
          <w:spacing w:val="-6"/>
          <w:kern w:val="16"/>
          <w:sz w:val="27"/>
          <w:szCs w:val="28"/>
        </w:rPr>
        <w:t>дополнительного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 образования 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города Новороссийска 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представлена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10муниципальными 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>организациями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 дополнительного образования отрасли «Образование», 9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 организациями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 дополнительного образованияотрасли «ФКиС», 4 организации отрасли «Культура». </w:t>
      </w:r>
    </w:p>
    <w:p w:rsidR="00227496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>Конкурентная среда в сфере</w:t>
      </w:r>
      <w:r>
        <w:rPr>
          <w:rFonts w:ascii="Times New Roman" w:hAnsi="Times New Roman"/>
          <w:spacing w:val="-6"/>
          <w:kern w:val="16"/>
          <w:sz w:val="27"/>
          <w:szCs w:val="28"/>
        </w:rPr>
        <w:t>дополнительного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 образования характеризуется доминированием муниципальных образовательных организаций</w:t>
      </w:r>
      <w:r>
        <w:rPr>
          <w:rFonts w:ascii="Times New Roman" w:hAnsi="Times New Roman"/>
          <w:spacing w:val="-6"/>
          <w:kern w:val="16"/>
          <w:sz w:val="27"/>
          <w:szCs w:val="28"/>
        </w:rPr>
        <w:t>.</w:t>
      </w:r>
    </w:p>
    <w:p w:rsidR="00227496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rFonts w:ascii="Times New Roman" w:hAnsi="Times New Roman"/>
          <w:spacing w:val="-6"/>
          <w:kern w:val="16"/>
          <w:sz w:val="27"/>
          <w:szCs w:val="28"/>
        </w:rPr>
        <w:t>По отрасли «Образование» активно развиваются платные услуги по дополнительному образованию.</w:t>
      </w:r>
    </w:p>
    <w:p w:rsidR="00227496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27496">
        <w:rPr>
          <w:rFonts w:ascii="Times New Roman" w:hAnsi="Times New Roman"/>
          <w:spacing w:val="-6"/>
          <w:kern w:val="16"/>
          <w:sz w:val="27"/>
          <w:szCs w:val="28"/>
        </w:rPr>
        <w:t xml:space="preserve">Охват детей услугами дополнительного образования детей в возрасте от 5 до </w:t>
      </w:r>
      <w:r w:rsidRPr="00227496">
        <w:rPr>
          <w:rFonts w:ascii="Times New Roman" w:hAnsi="Times New Roman"/>
          <w:spacing w:val="-6"/>
          <w:kern w:val="16"/>
          <w:sz w:val="27"/>
          <w:szCs w:val="28"/>
        </w:rPr>
        <w:lastRenderedPageBreak/>
        <w:t>18 лет по итогам 2016 года составил  65 %.</w:t>
      </w:r>
    </w:p>
    <w:p w:rsidR="00227496" w:rsidRPr="003B1BE1" w:rsidRDefault="00227496" w:rsidP="00016C8B">
      <w:pPr>
        <w:widowControl w:val="0"/>
        <w:tabs>
          <w:tab w:val="left" w:pos="32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</w:pPr>
      <w:r w:rsidRPr="003B1BE1"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 xml:space="preserve">Количество хозяйствующих субъектов, предоставляющих услуги в </w:t>
      </w:r>
      <w:r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>муниципальном</w:t>
      </w:r>
      <w:r w:rsidRPr="003B1BE1"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 xml:space="preserve"> секторе </w:t>
      </w:r>
      <w:r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>дополнительного</w:t>
      </w:r>
      <w:r w:rsidRPr="003B1BE1"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 xml:space="preserve"> образования на сегодняшний день </w:t>
      </w:r>
      <w:r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>23,имеющее</w:t>
      </w:r>
      <w:r w:rsidRPr="003B1BE1">
        <w:rPr>
          <w:rFonts w:ascii="Times New Roman" w:eastAsia="Calibri" w:hAnsi="Times New Roman" w:cs="Times New Roman"/>
          <w:spacing w:val="-6"/>
          <w:kern w:val="16"/>
          <w:sz w:val="27"/>
          <w:szCs w:val="28"/>
        </w:rPr>
        <w:t xml:space="preserve"> лицензию на образовательную деятельность.</w:t>
      </w:r>
    </w:p>
    <w:p w:rsidR="00227496" w:rsidRPr="003B1BE1" w:rsidRDefault="00227496" w:rsidP="00016C8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Вместе с тем, развитие конкуренции на рынке поставщиков в сфере </w:t>
      </w:r>
      <w:r>
        <w:rPr>
          <w:rFonts w:ascii="Times New Roman" w:hAnsi="Times New Roman"/>
          <w:spacing w:val="-6"/>
          <w:kern w:val="16"/>
          <w:sz w:val="27"/>
          <w:szCs w:val="28"/>
        </w:rPr>
        <w:t>дополнительного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 образования осуществляется 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планомерно.  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Спрос на услуги и по </w:t>
      </w:r>
      <w:r>
        <w:rPr>
          <w:rFonts w:ascii="Times New Roman" w:hAnsi="Times New Roman"/>
          <w:spacing w:val="-6"/>
          <w:kern w:val="16"/>
          <w:sz w:val="27"/>
          <w:szCs w:val="28"/>
        </w:rPr>
        <w:t xml:space="preserve">дополнительному 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образованию удовлетворен в </w:t>
      </w:r>
      <w:r>
        <w:rPr>
          <w:rFonts w:ascii="Times New Roman" w:hAnsi="Times New Roman"/>
          <w:spacing w:val="-6"/>
          <w:kern w:val="16"/>
          <w:sz w:val="27"/>
          <w:szCs w:val="28"/>
        </w:rPr>
        <w:t>достаточной</w:t>
      </w:r>
      <w:r w:rsidRPr="003B1BE1">
        <w:rPr>
          <w:rFonts w:ascii="Times New Roman" w:hAnsi="Times New Roman"/>
          <w:spacing w:val="-6"/>
          <w:kern w:val="16"/>
          <w:sz w:val="27"/>
          <w:szCs w:val="28"/>
        </w:rPr>
        <w:t xml:space="preserve"> мере</w:t>
      </w:r>
      <w:r>
        <w:rPr>
          <w:rFonts w:ascii="Times New Roman" w:hAnsi="Times New Roman"/>
          <w:spacing w:val="-6"/>
          <w:kern w:val="16"/>
          <w:sz w:val="27"/>
          <w:szCs w:val="28"/>
        </w:rPr>
        <w:t>.</w:t>
      </w:r>
    </w:p>
    <w:p w:rsidR="00227496" w:rsidRPr="003B1BE1" w:rsidRDefault="00227496" w:rsidP="00016C8B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8929BC">
        <w:rPr>
          <w:rFonts w:ascii="Times New Roman" w:hAnsi="Times New Roman"/>
          <w:spacing w:val="-6"/>
          <w:kern w:val="16"/>
          <w:sz w:val="27"/>
          <w:szCs w:val="28"/>
        </w:rPr>
        <w:t xml:space="preserve">Как следствие мониторинг условий ценовой политики свидетельствует, что в муниципальных организациях </w:t>
      </w:r>
      <w:r>
        <w:rPr>
          <w:rFonts w:ascii="Times New Roman" w:hAnsi="Times New Roman"/>
          <w:spacing w:val="-6"/>
          <w:kern w:val="16"/>
          <w:sz w:val="27"/>
          <w:szCs w:val="28"/>
        </w:rPr>
        <w:t>дополнительногообразованияплата</w:t>
      </w:r>
      <w:r w:rsidRPr="008929BC">
        <w:rPr>
          <w:rFonts w:ascii="Times New Roman" w:hAnsi="Times New Roman"/>
          <w:spacing w:val="-6"/>
          <w:kern w:val="16"/>
          <w:sz w:val="27"/>
          <w:szCs w:val="28"/>
        </w:rPr>
        <w:t xml:space="preserve"> потребителей (родителей) </w:t>
      </w:r>
      <w:r>
        <w:rPr>
          <w:rFonts w:ascii="Times New Roman" w:hAnsi="Times New Roman"/>
          <w:spacing w:val="-6"/>
          <w:kern w:val="16"/>
          <w:sz w:val="27"/>
          <w:szCs w:val="28"/>
        </w:rPr>
        <w:t>не предусмотрена.</w:t>
      </w:r>
    </w:p>
    <w:p w:rsidR="00227496" w:rsidRPr="001944CC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4F6A3F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2.3.4. Р</w:t>
      </w:r>
      <w:r w:rsidR="00ED607B" w:rsidRPr="004F6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медицинских услуг.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16"/>
          <w:sz w:val="27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7"/>
          <w:szCs w:val="28"/>
          <w:lang w:eastAsia="ru-RU"/>
        </w:rPr>
        <w:t>Объем оказываемых медицинских услуг в общем объеме платных услуг населению по полному кругу организаций составляет 4,7%.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kern w:val="16"/>
          <w:sz w:val="27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7"/>
          <w:szCs w:val="28"/>
          <w:lang w:eastAsia="ru-RU"/>
        </w:rPr>
        <w:t>В реализации Территориальной программы государственных гарантий бесплатного оказания гражданам медицинской помощи в Краснодарском крае на 2016 год участвует 29 учреждений здравоохранения г. Новороссийска, в том числе в реализации территориальной программы по ОМС – 25 учреждений здравоохранения. Доля негосударственных (немуниципальных) учреждений здравоохранения участвующих в реализации территориальной программы обязательного медицинского страхования составляет 4%.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7"/>
          <w:szCs w:val="28"/>
          <w:lang w:eastAsia="ru-RU"/>
        </w:rPr>
        <w:t>Доля негосударственных аптечных организаций, осуществляющих розничную торговлю фармацевтической продукцией, от общего числа аптечных организаций, осуществляющих розничную торговлю, составляет 100%.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общественного мнения и состояния конкурентной среды на рынке по вопросу организации, качества и доступности оказываемых медицинских услуг, предоставляемых населению города Новороссийска, проведено анкетирование респондентов. 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анкетировании приняли участие 2 264 жителей города Новороссийска. В качестве респондентов выступили пациенты, получающие стационарную и амбулаторно-поликлиническую помощь в казенных и бюджетных медицинских учреждениях и других коммерческих организациях. 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опрошенных 89% респондентов составили женщины и 11% мужчины. По социальному положению преобладают работающие граждане – 93 %. По возрастной категории опрошенные распределились следующим образом: </w:t>
      </w:r>
    </w:p>
    <w:p w:rsid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3F" w:rsidRDefault="004F6A3F" w:rsidP="00016C8B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1710"/>
        <w:gridCol w:w="1984"/>
        <w:gridCol w:w="1843"/>
        <w:gridCol w:w="1843"/>
      </w:tblGrid>
      <w:tr w:rsidR="004F6A3F" w:rsidRPr="004F6A3F" w:rsidTr="004F6A3F">
        <w:trPr>
          <w:trHeight w:val="294"/>
        </w:trPr>
        <w:tc>
          <w:tcPr>
            <w:tcW w:w="20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710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21 года</w:t>
            </w:r>
          </w:p>
        </w:tc>
        <w:tc>
          <w:tcPr>
            <w:tcW w:w="19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21 до 35 лет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35 до 50 лет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Старше 50 лет</w:t>
            </w:r>
          </w:p>
        </w:tc>
      </w:tr>
      <w:tr w:rsidR="004F6A3F" w:rsidRPr="004F6A3F" w:rsidTr="004F6A3F">
        <w:trPr>
          <w:trHeight w:val="307"/>
        </w:trPr>
        <w:tc>
          <w:tcPr>
            <w:tcW w:w="20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10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9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4F6A3F" w:rsidRPr="004F6A3F" w:rsidTr="004F6A3F">
        <w:trPr>
          <w:trHeight w:val="322"/>
        </w:trPr>
        <w:tc>
          <w:tcPr>
            <w:tcW w:w="20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10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F6A3F" w:rsidRPr="004F6A3F" w:rsidTr="004F6A3F">
        <w:trPr>
          <w:trHeight w:val="322"/>
        </w:trPr>
        <w:tc>
          <w:tcPr>
            <w:tcW w:w="20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10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84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84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</w:tbl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Таблицы №1, значительная часть опрошенных респондентов составили лица в возрасте от 35 до 50 лет у мужчин – 44 %, и в возрасте от 21 до 35 лет у женщин – 31 %. 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более наглядного предоставления сведения по составу опрошенных, возрасту, социальному положению, материальному положению и удовлетворенности качеством оказанных медицинских услуг отражены в таблицах и диаграммах.</w:t>
      </w:r>
    </w:p>
    <w:p w:rsid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A3F" w:rsidRP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анкетирования по полу и возрасту.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№1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609121"/>
            <wp:effectExtent l="0" t="0" r="0" b="0"/>
            <wp:docPr id="3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по социальному положению.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№2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5605" cy="3233057"/>
            <wp:effectExtent l="0" t="0" r="0" b="0"/>
            <wp:docPr id="3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представленной диаграммы можно отметить, что из всего числа опрошенных респондентов работающее население занимает большую часть, которая составляет – 93 %, пенсионеры – 2,5 % и временно не работающие – 1,2 %.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по материальному положению.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8"/>
        <w:gridCol w:w="2633"/>
        <w:gridCol w:w="2369"/>
      </w:tblGrid>
      <w:tr w:rsidR="004F6A3F" w:rsidRPr="004F6A3F" w:rsidTr="00331B09">
        <w:trPr>
          <w:trHeight w:val="285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Материальный доход, (руб.)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4F6A3F" w:rsidRPr="004F6A3F" w:rsidTr="00331B09">
        <w:trPr>
          <w:trHeight w:val="285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тыс. рублей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4F6A3F" w:rsidRPr="004F6A3F" w:rsidTr="00331B09">
        <w:trPr>
          <w:trHeight w:val="285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тыс. рублей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F6A3F" w:rsidRPr="004F6A3F" w:rsidTr="00331B09">
        <w:trPr>
          <w:trHeight w:val="285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тыс. рублей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F6A3F" w:rsidRPr="004F6A3F" w:rsidTr="00331B09">
        <w:trPr>
          <w:trHeight w:val="285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45 тыс. рублей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F6A3F" w:rsidRPr="004F6A3F" w:rsidTr="00331B09">
        <w:trPr>
          <w:trHeight w:val="273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60 тыс. рублей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F6A3F" w:rsidRPr="004F6A3F" w:rsidTr="00331B09">
        <w:trPr>
          <w:trHeight w:val="299"/>
        </w:trPr>
        <w:tc>
          <w:tcPr>
            <w:tcW w:w="5036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 тыс. рублей</w:t>
            </w:r>
          </w:p>
        </w:tc>
        <w:tc>
          <w:tcPr>
            <w:tcW w:w="2833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представленной Таблицы № 2 возможно оценить материальное положение жителей нашего города. Среднемесячный доход от 10 до 20 тыс. рублей на одного человека в семье составляет у 50% или 1 134 человек из опрошенных респондентов.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A3F" w:rsidRPr="004F6A3F" w:rsidRDefault="004F6A3F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медицинских организаций предоставляющих услуги на рынках города.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№3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646" cy="2819400"/>
            <wp:effectExtent l="0" t="0" r="0" b="0"/>
            <wp:docPr id="3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диаграммы видно, что 49,8% от опрошенных считают достаточное количество медицинских организаций в нашем городе, которые могут оказать качественно медицинскую услугу и только 2,3% считают, что их нет совсем.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8B" w:rsidRDefault="00016C8B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8B" w:rsidRDefault="00016C8B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8B" w:rsidRDefault="00016C8B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8B" w:rsidRDefault="00016C8B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A3F" w:rsidRPr="004F6A3F" w:rsidRDefault="00016C8B" w:rsidP="00016C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4F6A3F" w:rsidRPr="004F6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асколько вы удовлетворены рынком медицинских услуг в нашем городе.</w:t>
      </w:r>
    </w:p>
    <w:p w:rsidR="004F6A3F" w:rsidRPr="004F6A3F" w:rsidRDefault="004F6A3F" w:rsidP="00016C8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137"/>
        <w:gridCol w:w="3158"/>
      </w:tblGrid>
      <w:tr w:rsidR="004F6A3F" w:rsidRPr="004F6A3F" w:rsidTr="00016C8B">
        <w:trPr>
          <w:trHeight w:val="287"/>
        </w:trPr>
        <w:tc>
          <w:tcPr>
            <w:tcW w:w="3275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Удовлетворенность </w:t>
            </w:r>
          </w:p>
        </w:tc>
        <w:tc>
          <w:tcPr>
            <w:tcW w:w="3137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158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4F6A3F" w:rsidRPr="004F6A3F" w:rsidTr="00016C8B">
        <w:trPr>
          <w:trHeight w:val="287"/>
        </w:trPr>
        <w:tc>
          <w:tcPr>
            <w:tcW w:w="3275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3137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158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F6A3F" w:rsidRPr="004F6A3F" w:rsidTr="00016C8B">
        <w:trPr>
          <w:trHeight w:val="287"/>
        </w:trPr>
        <w:tc>
          <w:tcPr>
            <w:tcW w:w="3275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3137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58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F6A3F" w:rsidRPr="004F6A3F" w:rsidTr="00016C8B">
        <w:trPr>
          <w:trHeight w:val="287"/>
        </w:trPr>
        <w:tc>
          <w:tcPr>
            <w:tcW w:w="3275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3137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58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F6A3F" w:rsidRPr="004F6A3F" w:rsidTr="00016C8B">
        <w:trPr>
          <w:trHeight w:val="274"/>
        </w:trPr>
        <w:tc>
          <w:tcPr>
            <w:tcW w:w="3275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3137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58" w:type="dxa"/>
          </w:tcPr>
          <w:p w:rsidR="004F6A3F" w:rsidRPr="004F6A3F" w:rsidRDefault="004F6A3F" w:rsidP="00016C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3F" w:rsidRPr="004F6A3F" w:rsidRDefault="004F6A3F" w:rsidP="00016C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проведении анализа анкетирования в разрезе удовлетворенности населения города рынком медицинских услуг видно то, что показатель «удовлетворен» занимает первое место в опросе и составляет – 57% или 1 283 человека, чем показатель «скорее не удовлетворено» – 16% или 366 человек. Необходимо принять во внимание и то, что есть показатель «не удовлетворен», который составляет – 11% или 257 человек из участвующих в анкетировании.   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Законодательством предусмотрено право выбора пациентом страховой медицинской организации, медицинской организации для оказания первичной медико-санитарной помощи.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На территории города предоставляют свои услуги в части страхования населения 5 основных страховых компаний, одна из крупнейших страховых компаний является ООО «АльфаСтрахование-ОМС».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 xml:space="preserve">В городе Новороссийске в реализации Территориальной программы государственных гарантий обязательного медицинского страхования (далее – ТП ОМС) участвует 25 учреждений здравоохранения г. Новороссийска. 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 xml:space="preserve">Согласно утвержденного тарифного соглашения в сфере обязательного медицинского страхования на территории Краснодарского края от 26 января 2015 года, которое устанавливает согласование сторонами размера и структуры тарифов на оплату медицинской помощи, способов оплаты медицинской помощи, размера неоплаты или неполной оплаты затрат на оказание медицинской помощи, а также уплаты штрафов за неоказание, несвоевременное оказание, либо оказание медицинской помощи ненадлежащего качества. 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Тарифное регулирование оплаты медицинской помощи в сфере ТП ОМС Краснодарского края, а так же на территории города Новороссийска осуществляется в соответствии с законодательством РФ, нормативными документами и решениями комиссии по разработке территориальной программы обязательного медицинского страхования.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Информация о медицинских организациях, участвующих в реализации Территориальной программы ОМС в форме реестра размещена на официальном сайте Краснодарского края Территориального фонда обязательного медицинского страхования. Всем медицинским организациям, включенным в реестр ТФ ОМС, решением комиссии по разработке Территориальной программы ОМС в Краснодарском крае утверждены плановые объемы медицинской помощи на очередной год. Ежемесячно ТФ ОМС проводится контроль выполнения плановых объемов медицинской помощи в разрезе медицинских организаций.</w:t>
      </w:r>
    </w:p>
    <w:p w:rsidR="004F6A3F" w:rsidRPr="004F6A3F" w:rsidRDefault="004F6A3F" w:rsidP="00016C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lastRenderedPageBreak/>
        <w:t>На интернет-сайтах  медицинских организаций города Новороссийска размещена полная информация о деятельности учреждений, гарантиях оказания бесплатной медицинской помощи в рамках ТП ОМС, о платных медицинских услугах, объемах проводимых лабораторных исследований, прейскуранты цен на оказание предпринимательской деятельности, что дает населению возможность выбора медицинской организации и медицинских услуг, которые необходимы.</w:t>
      </w:r>
    </w:p>
    <w:p w:rsidR="004F6A3F" w:rsidRPr="004F6A3F" w:rsidRDefault="004F6A3F" w:rsidP="00016C8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реализация мероприятий, направленных на внедрение новых информационных технологий в медицинских организациях города. Результатом реализации данного направления является объединение всех медицинских учреждений в единую информационную сеть, интегрированную в единую информационную сеть Краснодарского края, объединяющую всю необходимую информацию по всем направлениям деятельности учреждений.</w:t>
      </w:r>
    </w:p>
    <w:p w:rsidR="004F6A3F" w:rsidRPr="004F6A3F" w:rsidRDefault="004F6A3F" w:rsidP="00016C8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во всех учреждениях здравоохранения ведутся электронные медицинские карты пациентов и истории болезней с оформлением дневника врача.</w:t>
      </w:r>
    </w:p>
    <w:p w:rsidR="004F6A3F" w:rsidRPr="004F6A3F" w:rsidRDefault="004F6A3F" w:rsidP="00016C8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электронных регистратур человек, не выходя из дома, может записаться на прием к врачу.</w:t>
      </w:r>
    </w:p>
    <w:p w:rsidR="004F6A3F" w:rsidRPr="004F6A3F" w:rsidRDefault="004F6A3F" w:rsidP="00016C8B">
      <w:pPr>
        <w:tabs>
          <w:tab w:val="left" w:pos="42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реализуется проект по переходу к выписке рецептов в электронном виде с участием аптек.</w:t>
      </w:r>
      <w:r w:rsidRPr="004F6A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позволяет вести учёт федеральных и региональных льготников, вести выписку и отпуск по рецептам всех уровней.</w:t>
      </w:r>
    </w:p>
    <w:p w:rsidR="004F6A3F" w:rsidRDefault="004F6A3F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>Улучшение инвестиционного и делового климата муниципального образования город Новороссийск позволит улучшить показатели оказания качественной медицинской помощи в части укрепления материально-технической базы учреждений.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496" w:rsidRPr="001944CC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4F6A3F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2.3.5. Р</w:t>
      </w:r>
      <w:r w:rsidR="00ED607B" w:rsidRPr="004F6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психолого-педагогического сопровождения детей с ограниченными возможностями здоровья.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5E00D2">
        <w:rPr>
          <w:rFonts w:ascii="Times New Roman" w:hAnsi="Times New Roman"/>
          <w:i/>
          <w:spacing w:val="-6"/>
          <w:kern w:val="16"/>
          <w:sz w:val="27"/>
          <w:szCs w:val="28"/>
        </w:rPr>
        <w:t>Количество организаций, предоставляющих</w:t>
      </w:r>
      <w:r w:rsidRPr="00C523A2">
        <w:rPr>
          <w:rFonts w:ascii="Times New Roman" w:hAnsi="Times New Roman"/>
          <w:i/>
          <w:spacing w:val="-6"/>
          <w:kern w:val="16"/>
          <w:sz w:val="27"/>
          <w:szCs w:val="28"/>
        </w:rPr>
        <w:t>услуги психолого-педагогического сопровождения детей с ОВЗ</w:t>
      </w:r>
      <w:r>
        <w:rPr>
          <w:rFonts w:ascii="Times New Roman" w:hAnsi="Times New Roman"/>
          <w:spacing w:val="-6"/>
          <w:kern w:val="16"/>
          <w:sz w:val="27"/>
          <w:szCs w:val="28"/>
        </w:rPr>
        <w:t>:  «мало» - 33,2 %,  « достаточно» - 39,2%,  «избыточно»-24,3%, «отсутствуют» -3,4%</w:t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jc w:val="both"/>
        <w:rPr>
          <w:rFonts w:ascii="Times New Roman" w:hAnsi="Times New Roman"/>
          <w:noProof/>
          <w:spacing w:val="-6"/>
          <w:kern w:val="16"/>
          <w:sz w:val="27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kern w:val="16"/>
          <w:sz w:val="27"/>
          <w:szCs w:val="28"/>
          <w:lang w:val="en-US"/>
        </w:rPr>
      </w:pP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kern w:val="16"/>
          <w:sz w:val="27"/>
          <w:szCs w:val="28"/>
        </w:rPr>
      </w:pPr>
      <w:r w:rsidRPr="00C523A2">
        <w:rPr>
          <w:rFonts w:ascii="Times New Roman" w:hAnsi="Times New Roman"/>
          <w:i/>
          <w:spacing w:val="-6"/>
          <w:kern w:val="16"/>
          <w:sz w:val="27"/>
          <w:szCs w:val="28"/>
        </w:rPr>
        <w:t xml:space="preserve">Качество услуг организаций, предоставляющих услуги психолого-педагогического сопровождения детей с ОВЗ: </w:t>
      </w:r>
    </w:p>
    <w:p w:rsidR="00227496" w:rsidRPr="00E7586E" w:rsidRDefault="00227496" w:rsidP="00016C8B">
      <w:pPr>
        <w:spacing w:after="0" w:line="240" w:lineRule="auto"/>
        <w:rPr>
          <w:rFonts w:ascii="Times New Roman" w:hAnsi="Times New Roman"/>
          <w:spacing w:val="-6"/>
          <w:kern w:val="16"/>
          <w:sz w:val="27"/>
          <w:szCs w:val="28"/>
        </w:rPr>
      </w:pP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 xml:space="preserve">"удовлетворительно" – </w:t>
      </w:r>
      <w:r>
        <w:rPr>
          <w:rFonts w:ascii="Times New Roman" w:hAnsi="Times New Roman"/>
          <w:spacing w:val="-6"/>
          <w:kern w:val="16"/>
          <w:sz w:val="27"/>
          <w:szCs w:val="28"/>
        </w:rPr>
        <w:t>65,3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 xml:space="preserve">% , « Скорее удовлетворительно»- </w:t>
      </w:r>
      <w:r>
        <w:rPr>
          <w:rFonts w:ascii="Times New Roman" w:hAnsi="Times New Roman"/>
          <w:spacing w:val="-6"/>
          <w:kern w:val="16"/>
          <w:sz w:val="27"/>
          <w:szCs w:val="28"/>
        </w:rPr>
        <w:t>13,5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 xml:space="preserve">%, «скорее не удовлетворительно» - </w:t>
      </w:r>
      <w:r>
        <w:rPr>
          <w:rFonts w:ascii="Times New Roman" w:hAnsi="Times New Roman"/>
          <w:spacing w:val="-6"/>
          <w:kern w:val="16"/>
          <w:sz w:val="27"/>
          <w:szCs w:val="28"/>
        </w:rPr>
        <w:t>13,7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>%, «не удовлетворительно»-</w:t>
      </w:r>
      <w:r>
        <w:rPr>
          <w:rFonts w:ascii="Times New Roman" w:hAnsi="Times New Roman"/>
          <w:spacing w:val="-6"/>
          <w:kern w:val="16"/>
          <w:sz w:val="27"/>
          <w:szCs w:val="28"/>
        </w:rPr>
        <w:t>7,5</w:t>
      </w:r>
      <w:r w:rsidRPr="00E7586E">
        <w:rPr>
          <w:rFonts w:ascii="Times New Roman" w:hAnsi="Times New Roman"/>
          <w:spacing w:val="-6"/>
          <w:kern w:val="16"/>
          <w:sz w:val="27"/>
          <w:szCs w:val="28"/>
        </w:rPr>
        <w:t>%</w:t>
      </w:r>
    </w:p>
    <w:p w:rsidR="00227496" w:rsidRPr="00C523A2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kern w:val="16"/>
          <w:sz w:val="27"/>
          <w:szCs w:val="28"/>
        </w:rPr>
      </w:pPr>
    </w:p>
    <w:p w:rsidR="00227496" w:rsidRPr="00E7586E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</w:p>
    <w:p w:rsidR="00227496" w:rsidRDefault="00227496" w:rsidP="00016C8B">
      <w:pPr>
        <w:widowControl w:val="0"/>
        <w:spacing w:after="0" w:line="240" w:lineRule="auto"/>
        <w:jc w:val="both"/>
        <w:rPr>
          <w:rFonts w:ascii="Times New Roman" w:hAnsi="Times New Roman"/>
          <w:noProof/>
          <w:spacing w:val="-6"/>
          <w:kern w:val="16"/>
          <w:sz w:val="27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3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27496" w:rsidRDefault="00227496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kern w:val="16"/>
          <w:sz w:val="27"/>
          <w:szCs w:val="28"/>
        </w:rPr>
      </w:pP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Рынок услуг психолого-педагогического сопровождения детей с ограниченными возможностями здоровья представлен Муниципальным казенным учреждением психолого-педагогический медико-социальный центр «Диалог» муниципального образования г. Новороссийск, в составе которого функционирует территориальная психолого-медико-педагогическая комиссия. 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 xml:space="preserve">Во всех образовательных организациях г. Новороссийска с целью 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lastRenderedPageBreak/>
        <w:t xml:space="preserve">организации психолого-педагогического сопровождения детей с ОВЗ созданы и функционируют психолого-социально-педагогические службы образовательных организаций и психолого-медико-педагогические консилиумы. 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>
        <w:rPr>
          <w:rFonts w:ascii="Times New Roman" w:hAnsi="Times New Roman"/>
          <w:spacing w:val="-6"/>
          <w:kern w:val="16"/>
          <w:sz w:val="27"/>
          <w:szCs w:val="28"/>
        </w:rPr>
        <w:t>В ш</w:t>
      </w: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татное расписание образовательных организаций введены ставки педагога-психолога, социального педагога, учителя-логопеда, учителя-дефектолога.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,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 в муниципальном образовании город Новороссийск услуги по оказанию психолого-педагогического сопровождения детей с ограниченными возможностями здоровья оказывают 93 учреждения образования из них 33 общеобразовательных школы, 58 дошкольных образовательных организаций, 1 специальная коррекционная школа (ГБСКОУ №9) и 1 учреждение дополнительного образования детей (Дворец творчества детей и молодежи).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Согласно положению о психолого-медико-педагогической комиссии (приказ министерства образования и науки Российской Федерации от </w:t>
      </w:r>
      <w:r w:rsidRPr="002C498C">
        <w:rPr>
          <w:rFonts w:ascii="Times New Roman" w:hAnsi="Times New Roman"/>
          <w:bCs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2013 г"/>
        </w:smartTagPr>
        <w:r w:rsidRPr="002C498C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2C498C">
        <w:rPr>
          <w:rFonts w:ascii="Times New Roman" w:hAnsi="Times New Roman"/>
          <w:bCs/>
          <w:sz w:val="28"/>
          <w:szCs w:val="28"/>
        </w:rPr>
        <w:t>. № 1082</w:t>
      </w:r>
      <w:r w:rsidRPr="002C498C">
        <w:rPr>
          <w:rFonts w:ascii="Times New Roman" w:hAnsi="Times New Roman"/>
          <w:spacing w:val="-6"/>
          <w:kern w:val="16"/>
          <w:sz w:val="28"/>
          <w:szCs w:val="28"/>
          <w:shd w:val="clear" w:color="auto" w:fill="FFFFFF"/>
        </w:rPr>
        <w:t xml:space="preserve">) 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статус ребенка с ОВЗ присваивается территориальной психолого-медико-педагогической комиссией (ПМПК). В г.Новороссийске работает освобожденная территориальная ПМПК, формируемая на базе муниципального казенного учреждения  психолого-педагогический медико-социальный центр «Диалог» муниципального образования город Новороссийск. 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Рекомендации ПМПК по организации  психолого-педагогического сопровождения детей с ОВЗ являются обязательными для образовательных организаций при создании специальных образовательных условий. 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Общая численность детей от 0 до 18 лет, имеющих статус ребенка с ограниченными возможностями здоровья. -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2442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, из которых детей дошкольного возраста –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803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, школьного возраста –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1639.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 Численность детей с ОВЗ, посещающих образовательные организации -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2059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, из которых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535 детей  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посещают дошкольные образовательные организации,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1382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 детей посещают общеобразовательные организации, </w:t>
      </w:r>
      <w:r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>257</w:t>
      </w:r>
      <w:r w:rsidRPr="002C498C">
        <w:rPr>
          <w:rFonts w:ascii="Times New Roman" w:hAnsi="Times New Roman"/>
          <w:spacing w:val="-6"/>
          <w:kern w:val="16"/>
          <w:sz w:val="27"/>
          <w:szCs w:val="28"/>
          <w:shd w:val="clear" w:color="auto" w:fill="FFFFFF"/>
        </w:rPr>
        <w:t xml:space="preserve"> обучаются в коррекционных образовательных организациях.</w:t>
      </w:r>
    </w:p>
    <w:p w:rsidR="00227496" w:rsidRPr="002C498C" w:rsidRDefault="00227496" w:rsidP="00016C8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Конкурентная среда в сфере «Рынок услуг психолого-педагогического сопровождения детей с ограниченными возможностями здоровья»характеризуется доминированием муниципальных образовательных организаций.</w:t>
      </w:r>
    </w:p>
    <w:p w:rsidR="00227496" w:rsidRPr="002C498C" w:rsidRDefault="00227496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Негосударственные организации, работающие в данной сфере представлены ЧОУ гимназия №1 и многочисленными индивидуальными предпринимателями.</w:t>
      </w:r>
    </w:p>
    <w:p w:rsidR="00227496" w:rsidRDefault="00227496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kern w:val="16"/>
          <w:sz w:val="27"/>
          <w:szCs w:val="28"/>
        </w:rPr>
      </w:pPr>
      <w:r w:rsidRPr="002C498C">
        <w:rPr>
          <w:rFonts w:ascii="Times New Roman" w:hAnsi="Times New Roman"/>
          <w:spacing w:val="-6"/>
          <w:kern w:val="16"/>
          <w:sz w:val="27"/>
          <w:szCs w:val="28"/>
        </w:rPr>
        <w:t>Развитие конкуренции на рынке поставщиков в сфере психолого-педагогического сопровождения детей с ограниченными возможностями здоровья осуществляется стихийно.</w:t>
      </w:r>
    </w:p>
    <w:p w:rsidR="00016C8B" w:rsidRDefault="00016C8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607B" w:rsidRPr="004F6A3F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6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2.3.6. Р</w:t>
      </w:r>
      <w:r w:rsidR="00ED607B" w:rsidRPr="004F6A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в сфере культуры.</w:t>
      </w:r>
    </w:p>
    <w:p w:rsidR="004F6A3F" w:rsidRPr="00092E8F" w:rsidRDefault="004F6A3F" w:rsidP="00016C8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kern w:val="16"/>
          <w:sz w:val="28"/>
          <w:szCs w:val="28"/>
          <w:shd w:val="clear" w:color="auto" w:fill="FFFFFF"/>
        </w:rPr>
      </w:pPr>
      <w:r w:rsidRPr="00092E8F">
        <w:rPr>
          <w:rFonts w:ascii="Times New Roman" w:hAnsi="Times New Roman"/>
          <w:kern w:val="16"/>
          <w:sz w:val="28"/>
          <w:szCs w:val="28"/>
        </w:rPr>
        <w:t xml:space="preserve">Рынок услуг </w:t>
      </w:r>
      <w:r w:rsidRPr="00092E8F">
        <w:rPr>
          <w:rFonts w:ascii="Times New Roman" w:hAnsi="Times New Roman"/>
          <w:color w:val="212121"/>
          <w:kern w:val="16"/>
          <w:sz w:val="28"/>
          <w:szCs w:val="28"/>
          <w:shd w:val="clear" w:color="auto" w:fill="FFFFFF"/>
        </w:rPr>
        <w:t xml:space="preserve">в сфере культуры связывают с особенностями «духовного производства». «Продукты» такой деятельности носят не столько вещественный характер, сколько связаны с феноменами сознания (восприятия, понимания, мышления, переживания и т. д.), не поддаются непосредственному прямому счету, складированию. Их производство зачастую совпадает с их потреблением (просмотр спектакля, кинофильма, прослушивание концерта, чтение книги и т. д.; книга, которую не читают, картина, которую не смотрят и т. п., не являются художественными ценностями). Более того культурные ценности в процессе потребления </w:t>
      </w:r>
      <w:r w:rsidRPr="00092E8F">
        <w:rPr>
          <w:rFonts w:ascii="Times New Roman" w:hAnsi="Times New Roman"/>
          <w:color w:val="212121"/>
          <w:kern w:val="16"/>
          <w:sz w:val="28"/>
          <w:szCs w:val="28"/>
          <w:shd w:val="clear" w:color="auto" w:fill="FFFFFF"/>
        </w:rPr>
        <w:lastRenderedPageBreak/>
        <w:t>наращивают свою ценность (чем больше народу прочитало книгу, видело картину, слышало концерт и т. п., — тем выше их социальная значимость).</w:t>
      </w:r>
    </w:p>
    <w:p w:rsidR="004F6A3F" w:rsidRPr="00092E8F" w:rsidRDefault="004F6A3F" w:rsidP="00016C8B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4F6A3F" w:rsidRDefault="004F6A3F" w:rsidP="00016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b/>
          <w:sz w:val="28"/>
          <w:szCs w:val="28"/>
        </w:rPr>
        <w:t>Количество хозяйствующих муниципальных субъектов в сфере культуры</w:t>
      </w:r>
      <w:r w:rsidRPr="00092E8F">
        <w:rPr>
          <w:rFonts w:ascii="Times New Roman" w:hAnsi="Times New Roman"/>
          <w:sz w:val="28"/>
          <w:szCs w:val="28"/>
        </w:rPr>
        <w:t xml:space="preserve"> (на 1 января)</w:t>
      </w:r>
    </w:p>
    <w:p w:rsidR="004F6A3F" w:rsidRPr="00092E8F" w:rsidRDefault="004F6A3F" w:rsidP="00016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276"/>
        <w:gridCol w:w="1276"/>
        <w:gridCol w:w="1276"/>
        <w:gridCol w:w="1099"/>
        <w:gridCol w:w="1099"/>
      </w:tblGrid>
      <w:tr w:rsidR="004F6A3F" w:rsidRPr="00092E8F" w:rsidTr="00331B09">
        <w:trPr>
          <w:tblHeader/>
        </w:trPr>
        <w:tc>
          <w:tcPr>
            <w:tcW w:w="3261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8F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8F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8F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8F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8F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4F6A3F" w:rsidRPr="00092E8F" w:rsidTr="00331B09">
        <w:tc>
          <w:tcPr>
            <w:tcW w:w="3261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Культурно-досуговые учреждения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F6A3F" w:rsidRPr="00092E8F" w:rsidTr="00331B09">
        <w:tc>
          <w:tcPr>
            <w:tcW w:w="3261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Библиотечные системы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 (28)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 (28)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 (28)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 (28)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 (28)</w:t>
            </w:r>
          </w:p>
        </w:tc>
      </w:tr>
      <w:tr w:rsidR="004F6A3F" w:rsidRPr="00092E8F" w:rsidTr="00331B09">
        <w:tc>
          <w:tcPr>
            <w:tcW w:w="3261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6A3F" w:rsidRPr="00092E8F" w:rsidTr="00331B09">
        <w:tc>
          <w:tcPr>
            <w:tcW w:w="3261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Парковое хозяйство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1(8)</w:t>
            </w:r>
          </w:p>
        </w:tc>
      </w:tr>
      <w:tr w:rsidR="004F6A3F" w:rsidRPr="00092E8F" w:rsidTr="00331B09">
        <w:tc>
          <w:tcPr>
            <w:tcW w:w="3261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92E8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center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4F6A3F" w:rsidRPr="00092E8F" w:rsidRDefault="004F6A3F" w:rsidP="00016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4F6A3F" w:rsidRPr="00092E8F" w:rsidRDefault="004F6A3F" w:rsidP="00016C8B">
      <w:pPr>
        <w:widowControl w:val="0"/>
        <w:spacing w:after="0" w:line="240" w:lineRule="auto"/>
        <w:rPr>
          <w:rFonts w:ascii="Times New Roman" w:hAnsi="Times New Roman"/>
          <w:spacing w:val="-6"/>
          <w:kern w:val="16"/>
          <w:sz w:val="28"/>
          <w:szCs w:val="28"/>
        </w:rPr>
      </w:pP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Предлагаем вниманию итоги проведенного социологического опроса потребителей по разделу «Рынок услуг в отрасли «Культура»: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</w:t>
      </w:r>
    </w:p>
    <w:p w:rsidR="004F6A3F" w:rsidRPr="00092E8F" w:rsidRDefault="004F6A3F" w:rsidP="00016C8B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b/>
          <w:spacing w:val="-6"/>
          <w:kern w:val="16"/>
          <w:sz w:val="28"/>
          <w:szCs w:val="28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Вопрос: «Какое количество организаций предоставляет услуги в сфере культуры на рынке города Новороссийска?» </w:t>
      </w:r>
    </w:p>
    <w:p w:rsidR="004F6A3F" w:rsidRDefault="004F6A3F" w:rsidP="00016C8B">
      <w:pPr>
        <w:widowControl w:val="0"/>
        <w:spacing w:after="0" w:line="240" w:lineRule="auto"/>
        <w:contextualSpacing/>
        <w:rPr>
          <w:rFonts w:ascii="Times New Roman" w:hAnsi="Times New Roman"/>
          <w:spacing w:val="-6"/>
          <w:kern w:val="16"/>
          <w:sz w:val="28"/>
          <w:szCs w:val="28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       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Ответы респондентов распределились следующим образом:</w:t>
      </w:r>
    </w:p>
    <w:p w:rsidR="004F6A3F" w:rsidRPr="00092E8F" w:rsidRDefault="004F6A3F" w:rsidP="00016C8B">
      <w:pPr>
        <w:widowControl w:val="0"/>
        <w:spacing w:after="0" w:line="240" w:lineRule="auto"/>
        <w:contextualSpacing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4F6A3F" w:rsidRDefault="004F6A3F" w:rsidP="00016C8B">
      <w:pPr>
        <w:widowControl w:val="0"/>
        <w:spacing w:after="0" w:line="240" w:lineRule="auto"/>
        <w:rPr>
          <w:rFonts w:ascii="Times New Roman" w:hAnsi="Times New Roman"/>
          <w:b/>
          <w:spacing w:val="-6"/>
          <w:kern w:val="16"/>
          <w:sz w:val="27"/>
          <w:szCs w:val="28"/>
        </w:rPr>
      </w:pPr>
      <w:r>
        <w:rPr>
          <w:rFonts w:ascii="Times New Roman" w:hAnsi="Times New Roman"/>
          <w:b/>
          <w:noProof/>
          <w:spacing w:val="-6"/>
          <w:kern w:val="16"/>
          <w:sz w:val="27"/>
          <w:szCs w:val="28"/>
          <w:lang w:eastAsia="ru-RU"/>
        </w:rPr>
        <w:drawing>
          <wp:inline distT="0" distB="0" distL="0" distR="0">
            <wp:extent cx="5943965" cy="2655570"/>
            <wp:effectExtent l="0" t="0" r="0" b="1143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F6A3F" w:rsidRDefault="004F6A3F" w:rsidP="00016C8B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pacing w:val="-6"/>
          <w:kern w:val="16"/>
          <w:sz w:val="28"/>
          <w:szCs w:val="28"/>
        </w:rPr>
      </w:pPr>
      <w:r>
        <w:rPr>
          <w:rFonts w:ascii="Times New Roman" w:hAnsi="Times New Roman"/>
          <w:b/>
          <w:spacing w:val="-6"/>
          <w:kern w:val="16"/>
          <w:sz w:val="28"/>
          <w:szCs w:val="28"/>
        </w:rPr>
        <w:t>Из 2 265 человек:</w:t>
      </w:r>
    </w:p>
    <w:p w:rsidR="004F6A3F" w:rsidRPr="00092E8F" w:rsidRDefault="004F6A3F" w:rsidP="00016C8B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b/>
          <w:spacing w:val="-6"/>
          <w:kern w:val="16"/>
          <w:sz w:val="28"/>
          <w:szCs w:val="28"/>
        </w:rPr>
        <w:t>1 142 чел.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- 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“ДОСТАТОЧНО”</w:t>
      </w:r>
    </w:p>
    <w:p w:rsidR="004F6A3F" w:rsidRPr="00092E8F" w:rsidRDefault="004F6A3F" w:rsidP="00016C8B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pacing w:val="-6"/>
          <w:kern w:val="16"/>
          <w:sz w:val="28"/>
          <w:szCs w:val="28"/>
        </w:rPr>
      </w:pPr>
      <w:r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517 чел. 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-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“МАЛО”</w:t>
      </w:r>
    </w:p>
    <w:p w:rsidR="004F6A3F" w:rsidRPr="00092E8F" w:rsidRDefault="004F6A3F" w:rsidP="00016C8B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b/>
          <w:spacing w:val="-6"/>
          <w:kern w:val="16"/>
          <w:sz w:val="28"/>
          <w:szCs w:val="28"/>
        </w:rPr>
        <w:t>560 чел.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-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“ИЗБЫТОЧНО”</w:t>
      </w:r>
    </w:p>
    <w:p w:rsidR="004F6A3F" w:rsidRDefault="004F6A3F" w:rsidP="00016C8B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45 чел. 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-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“НЕДОСТАТОЧНО”</w:t>
      </w:r>
    </w:p>
    <w:p w:rsidR="004F6A3F" w:rsidRPr="00092E8F" w:rsidRDefault="004F6A3F" w:rsidP="00016C8B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pacing w:val="-6"/>
          <w:kern w:val="16"/>
          <w:sz w:val="28"/>
          <w:szCs w:val="28"/>
        </w:rPr>
      </w:pPr>
    </w:p>
    <w:p w:rsidR="004F6A3F" w:rsidRPr="00092E8F" w:rsidRDefault="004F6A3F" w:rsidP="00016C8B">
      <w:pPr>
        <w:widowControl w:val="0"/>
        <w:spacing w:after="0" w:line="240" w:lineRule="auto"/>
        <w:ind w:firstLine="709"/>
        <w:rPr>
          <w:rFonts w:ascii="Times New Roman" w:hAnsi="Times New Roman"/>
          <w:spacing w:val="-6"/>
          <w:kern w:val="16"/>
          <w:sz w:val="28"/>
          <w:szCs w:val="28"/>
        </w:rPr>
      </w:pP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Таким образом, </w:t>
      </w:r>
      <w:r>
        <w:rPr>
          <w:rFonts w:ascii="Times New Roman" w:hAnsi="Times New Roman"/>
          <w:b/>
          <w:spacing w:val="-6"/>
          <w:kern w:val="16"/>
          <w:sz w:val="28"/>
          <w:szCs w:val="28"/>
        </w:rPr>
        <w:t>1142 человека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опрошенных считают, что учреждений культуры на территории муниципального образования город Новороссийск достаточно, </w:t>
      </w:r>
      <w:r>
        <w:rPr>
          <w:rFonts w:ascii="Times New Roman" w:hAnsi="Times New Roman"/>
          <w:b/>
          <w:spacing w:val="-6"/>
          <w:kern w:val="16"/>
          <w:sz w:val="28"/>
          <w:szCs w:val="28"/>
        </w:rPr>
        <w:t>517 человек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считают, что мало, </w:t>
      </w:r>
      <w:r>
        <w:rPr>
          <w:rFonts w:ascii="Times New Roman" w:hAnsi="Times New Roman"/>
          <w:b/>
          <w:spacing w:val="-6"/>
          <w:kern w:val="16"/>
          <w:sz w:val="28"/>
          <w:szCs w:val="28"/>
        </w:rPr>
        <w:t>45 человек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- недостаточно </w:t>
      </w:r>
      <w:r w:rsidRPr="003D5F6A">
        <w:rPr>
          <w:rFonts w:ascii="Times New Roman" w:hAnsi="Times New Roman"/>
          <w:b/>
          <w:spacing w:val="-6"/>
          <w:kern w:val="16"/>
          <w:sz w:val="28"/>
          <w:szCs w:val="28"/>
        </w:rPr>
        <w:t>560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человек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находят, что учреждений культуры много.</w:t>
      </w:r>
    </w:p>
    <w:p w:rsidR="004F6A3F" w:rsidRPr="00092E8F" w:rsidRDefault="004F6A3F" w:rsidP="00016C8B">
      <w:pPr>
        <w:tabs>
          <w:tab w:val="left" w:pos="5474"/>
        </w:tabs>
        <w:spacing w:after="0" w:line="240" w:lineRule="auto"/>
        <w:ind w:firstLine="709"/>
        <w:rPr>
          <w:rFonts w:ascii="Times New Roman" w:hAnsi="Times New Roman"/>
          <w:b/>
          <w:spacing w:val="-6"/>
          <w:kern w:val="16"/>
          <w:sz w:val="28"/>
          <w:szCs w:val="28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lastRenderedPageBreak/>
        <w:t>Вопрос: «Насколько вы оцениваете качество услуг в сфере культуры города Новороссийска?»:</w:t>
      </w:r>
    </w:p>
    <w:p w:rsidR="004F6A3F" w:rsidRDefault="004F6A3F" w:rsidP="00016C8B">
      <w:pPr>
        <w:tabs>
          <w:tab w:val="left" w:pos="5474"/>
        </w:tabs>
        <w:spacing w:after="0" w:line="240" w:lineRule="auto"/>
        <w:rPr>
          <w:rFonts w:ascii="Times New Roman" w:hAnsi="Times New Roman"/>
          <w:spacing w:val="-6"/>
          <w:kern w:val="16"/>
          <w:sz w:val="28"/>
          <w:szCs w:val="28"/>
        </w:rPr>
      </w:pPr>
      <w:r w:rsidRPr="0062226E">
        <w:rPr>
          <w:rFonts w:ascii="Times New Roman" w:hAnsi="Times New Roman"/>
          <w:noProof/>
          <w:spacing w:val="-6"/>
          <w:kern w:val="16"/>
          <w:sz w:val="28"/>
          <w:szCs w:val="28"/>
          <w:lang w:eastAsia="ru-RU"/>
        </w:rPr>
        <w:drawing>
          <wp:inline distT="0" distB="0" distL="0" distR="0">
            <wp:extent cx="4308401" cy="2753832"/>
            <wp:effectExtent l="19050" t="0" r="15949" b="8418"/>
            <wp:docPr id="4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6A3F" w:rsidRDefault="004F6A3F" w:rsidP="00016C8B">
      <w:pPr>
        <w:tabs>
          <w:tab w:val="left" w:pos="5474"/>
        </w:tabs>
        <w:spacing w:after="0" w:line="240" w:lineRule="auto"/>
        <w:rPr>
          <w:rFonts w:ascii="Times New Roman" w:hAnsi="Times New Roman"/>
          <w:b/>
          <w:spacing w:val="-6"/>
          <w:kern w:val="16"/>
          <w:sz w:val="32"/>
          <w:szCs w:val="32"/>
        </w:rPr>
      </w:pP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      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Качество услуг в сфере культуры  по учреждениям культуры города Новороссийска в целом оценили следующим образом:</w:t>
      </w:r>
    </w:p>
    <w:p w:rsidR="004F6A3F" w:rsidRDefault="004F6A3F" w:rsidP="00016C8B">
      <w:pPr>
        <w:tabs>
          <w:tab w:val="left" w:pos="5474"/>
        </w:tabs>
        <w:spacing w:after="0" w:line="240" w:lineRule="auto"/>
        <w:contextualSpacing/>
        <w:rPr>
          <w:rFonts w:ascii="Times New Roman" w:hAnsi="Times New Roman"/>
          <w:b/>
          <w:spacing w:val="-6"/>
          <w:kern w:val="16"/>
          <w:sz w:val="32"/>
          <w:szCs w:val="32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>39% -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населения оценивает качество услуг культуры, как «скорее удовлетворительное»;</w:t>
      </w:r>
    </w:p>
    <w:p w:rsidR="004F6A3F" w:rsidRDefault="004F6A3F" w:rsidP="00016C8B">
      <w:pPr>
        <w:tabs>
          <w:tab w:val="left" w:pos="5474"/>
        </w:tabs>
        <w:spacing w:after="0" w:line="240" w:lineRule="auto"/>
        <w:contextualSpacing/>
        <w:rPr>
          <w:rFonts w:ascii="Times New Roman" w:hAnsi="Times New Roman"/>
          <w:b/>
          <w:spacing w:val="-6"/>
          <w:kern w:val="16"/>
          <w:sz w:val="32"/>
          <w:szCs w:val="32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17%   -   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>«удовлетворительное»;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 xml:space="preserve">  </w:t>
      </w:r>
    </w:p>
    <w:p w:rsidR="004F6A3F" w:rsidRPr="003D5F6A" w:rsidRDefault="004F6A3F" w:rsidP="00016C8B">
      <w:pPr>
        <w:tabs>
          <w:tab w:val="left" w:pos="5474"/>
        </w:tabs>
        <w:spacing w:after="0" w:line="240" w:lineRule="auto"/>
        <w:contextualSpacing/>
        <w:rPr>
          <w:rFonts w:ascii="Times New Roman" w:hAnsi="Times New Roman"/>
          <w:b/>
          <w:spacing w:val="-6"/>
          <w:kern w:val="16"/>
          <w:sz w:val="32"/>
          <w:szCs w:val="32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>32%   -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  «скорее не удовлетворительное»;</w:t>
      </w:r>
    </w:p>
    <w:p w:rsidR="004F6A3F" w:rsidRDefault="004F6A3F" w:rsidP="00016C8B">
      <w:pPr>
        <w:widowControl w:val="0"/>
        <w:spacing w:after="0" w:line="240" w:lineRule="auto"/>
        <w:contextualSpacing/>
        <w:rPr>
          <w:rFonts w:ascii="Times New Roman" w:hAnsi="Times New Roman"/>
          <w:spacing w:val="-6"/>
          <w:kern w:val="16"/>
          <w:sz w:val="28"/>
          <w:szCs w:val="28"/>
        </w:rPr>
      </w:pPr>
      <w:r w:rsidRPr="00092E8F">
        <w:rPr>
          <w:rFonts w:ascii="Times New Roman" w:hAnsi="Times New Roman"/>
          <w:b/>
          <w:spacing w:val="-6"/>
          <w:kern w:val="16"/>
          <w:sz w:val="28"/>
          <w:szCs w:val="28"/>
        </w:rPr>
        <w:t>12%   -</w:t>
      </w:r>
      <w:r w:rsidRPr="00092E8F">
        <w:rPr>
          <w:rFonts w:ascii="Times New Roman" w:hAnsi="Times New Roman"/>
          <w:spacing w:val="-6"/>
          <w:kern w:val="16"/>
          <w:sz w:val="28"/>
          <w:szCs w:val="28"/>
        </w:rPr>
        <w:t xml:space="preserve">    определило качество как «не удовлетворительное».</w:t>
      </w:r>
    </w:p>
    <w:p w:rsidR="004F6A3F" w:rsidRPr="00092E8F" w:rsidRDefault="004F6A3F" w:rsidP="00016C8B">
      <w:pPr>
        <w:tabs>
          <w:tab w:val="left" w:pos="547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2E8F">
        <w:rPr>
          <w:rFonts w:ascii="Times New Roman" w:hAnsi="Times New Roman"/>
          <w:sz w:val="28"/>
          <w:szCs w:val="28"/>
          <w:shd w:val="clear" w:color="auto" w:fill="FFFFFF"/>
        </w:rPr>
        <w:t xml:space="preserve">        В сегодняшних экономических условиях значительное внимание учреждения отрасли культуры придают внебюджетной деятельности, которая является источником дополнительных поступлений на их содержание и развитие. </w:t>
      </w:r>
      <w:r w:rsidRPr="00092E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Ее основная цель заключается в повышении уровня заинтересованности самой организации в поиске резервов, касающихся улучшения качества услуг.</w:t>
      </w:r>
    </w:p>
    <w:p w:rsidR="004F6A3F" w:rsidRPr="00092E8F" w:rsidRDefault="004F6A3F" w:rsidP="00016C8B">
      <w:pPr>
        <w:spacing w:after="0" w:line="240" w:lineRule="auto"/>
        <w:rPr>
          <w:rFonts w:ascii="Times New Roman" w:hAnsi="Times New Roman"/>
          <w:spacing w:val="-6"/>
          <w:kern w:val="16"/>
          <w:sz w:val="28"/>
          <w:szCs w:val="28"/>
          <w:lang w:eastAsia="ru-RU"/>
        </w:rPr>
      </w:pPr>
      <w:r w:rsidRPr="00092E8F">
        <w:rPr>
          <w:rFonts w:ascii="Times New Roman" w:hAnsi="Times New Roman"/>
          <w:spacing w:val="-6"/>
          <w:kern w:val="16"/>
          <w:sz w:val="28"/>
          <w:szCs w:val="28"/>
          <w:lang w:eastAsia="ru-RU"/>
        </w:rPr>
        <w:t xml:space="preserve">      Объем оказываемых услуг учреждений культуры в общем объеме платных услуг населению города составляет </w:t>
      </w:r>
      <w:r w:rsidRPr="00092E8F">
        <w:rPr>
          <w:rFonts w:ascii="Times New Roman" w:hAnsi="Times New Roman"/>
          <w:b/>
          <w:spacing w:val="-6"/>
          <w:kern w:val="16"/>
          <w:sz w:val="28"/>
          <w:szCs w:val="28"/>
          <w:lang w:eastAsia="ru-RU"/>
        </w:rPr>
        <w:t>4,7%.</w:t>
      </w:r>
    </w:p>
    <w:p w:rsidR="004F6A3F" w:rsidRPr="00D7775D" w:rsidRDefault="004F6A3F" w:rsidP="00016C8B">
      <w:pPr>
        <w:tabs>
          <w:tab w:val="left" w:pos="5474"/>
        </w:tabs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noProof/>
          <w:spacing w:val="-6"/>
          <w:kern w:val="16"/>
          <w:sz w:val="27"/>
          <w:szCs w:val="28"/>
          <w:lang w:eastAsia="ru-RU"/>
        </w:rPr>
        <w:drawing>
          <wp:inline distT="0" distB="0" distL="0" distR="0">
            <wp:extent cx="5496492" cy="3080385"/>
            <wp:effectExtent l="19050" t="0" r="28008" b="5715"/>
            <wp:docPr id="4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6A3F" w:rsidRPr="003D5F6A" w:rsidRDefault="004F6A3F" w:rsidP="00016C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        </w:t>
      </w:r>
      <w:r w:rsidRPr="003D5F6A">
        <w:rPr>
          <w:rFonts w:ascii="Times New Roman" w:hAnsi="Times New Roman"/>
          <w:color w:val="000000"/>
          <w:sz w:val="28"/>
          <w:szCs w:val="28"/>
        </w:rPr>
        <w:t xml:space="preserve">Анализируя  развитие внебюджетной деятельности за последние годы можно отметить рост объемов внебюджетных доходов учреждений культуры. </w:t>
      </w:r>
    </w:p>
    <w:p w:rsidR="004F6A3F" w:rsidRPr="003D5F6A" w:rsidRDefault="004F6A3F" w:rsidP="00016C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5F6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D5F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за 2015 год объем доходов от оказания платных услуг составил </w:t>
      </w:r>
      <w:r w:rsidRPr="003D5F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41 733 тыс.рублей</w:t>
      </w:r>
      <w:r w:rsidRPr="003D5F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уже за 2016 год – </w:t>
      </w:r>
      <w:r w:rsidRPr="003D5F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56 954 тыс.рублей</w:t>
      </w:r>
      <w:r w:rsidRPr="003D5F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3D5F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36% больше</w:t>
      </w:r>
      <w:r w:rsidRPr="003D5F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сравнению с 2015 годом.</w:t>
      </w: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3048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22333</wp:posOffset>
            </wp:positionV>
            <wp:extent cx="5828935" cy="2833370"/>
            <wp:effectExtent l="0" t="0" r="13335" b="11430"/>
            <wp:wrapNone/>
            <wp:docPr id="43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Default="004F6A3F" w:rsidP="00016C8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4F6A3F" w:rsidRPr="003D5F6A" w:rsidRDefault="004F6A3F" w:rsidP="00016C8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3D5F6A">
        <w:rPr>
          <w:rFonts w:ascii="Times New Roman" w:hAnsi="Times New Roman"/>
          <w:b/>
          <w:color w:val="000000"/>
          <w:sz w:val="28"/>
          <w:szCs w:val="28"/>
        </w:rPr>
        <w:t>За счет чего достигнут этот рост</w:t>
      </w:r>
      <w:r w:rsidR="00637A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6A3F" w:rsidRPr="003D5F6A" w:rsidRDefault="004F6A3F" w:rsidP="00016C8B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6A">
        <w:rPr>
          <w:rFonts w:ascii="Times New Roman" w:hAnsi="Times New Roman"/>
          <w:color w:val="000000"/>
          <w:sz w:val="28"/>
          <w:szCs w:val="28"/>
        </w:rPr>
        <w:t>1.Поэтапное укрепление материально-технической базы учреждений культуры, что дало свои положительные результаты по активизации работы с населением.</w:t>
      </w:r>
    </w:p>
    <w:p w:rsidR="004F6A3F" w:rsidRPr="003D5F6A" w:rsidRDefault="004F6A3F" w:rsidP="00016C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6A">
        <w:rPr>
          <w:rFonts w:ascii="Times New Roman" w:hAnsi="Times New Roman"/>
          <w:color w:val="000000"/>
          <w:sz w:val="28"/>
          <w:szCs w:val="28"/>
        </w:rPr>
        <w:t>2.Увеличение числа специалистов, предложивших новые услуги (набор и распечатка текстов, работа в Интернете, проведение семинаров, написание различных сценариев и т.д.).</w:t>
      </w:r>
    </w:p>
    <w:p w:rsidR="004F6A3F" w:rsidRPr="003D5F6A" w:rsidRDefault="004F6A3F" w:rsidP="00016C8B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3D5F6A">
        <w:rPr>
          <w:rFonts w:ascii="Times New Roman" w:hAnsi="Times New Roman"/>
          <w:color w:val="000000"/>
          <w:sz w:val="28"/>
          <w:szCs w:val="28"/>
        </w:rPr>
        <w:t xml:space="preserve">3.Изменение подходов к оценке профессиональной деятельности работников учреждений культуры. Здесь в основу положены инициатива, стремление самостоятельно зарабатывать деньги и бережно относиться к тому, что предоставляет город.              </w:t>
      </w:r>
    </w:p>
    <w:p w:rsidR="004F6A3F" w:rsidRPr="003D5F6A" w:rsidRDefault="004F6A3F" w:rsidP="00016C8B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3D5F6A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4F6A3F" w:rsidRPr="003D5F6A" w:rsidRDefault="004F6A3F" w:rsidP="00016C8B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3D5F6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847344" distB="892296" distL="1272540" distR="208534" simplePos="0" relativeHeight="251660288" behindDoc="0" locked="0" layoutInCell="1" allowOverlap="1">
            <wp:simplePos x="0" y="0"/>
            <wp:positionH relativeFrom="column">
              <wp:posOffset>461585</wp:posOffset>
            </wp:positionH>
            <wp:positionV relativeFrom="paragraph">
              <wp:posOffset>445932</wp:posOffset>
            </wp:positionV>
            <wp:extent cx="5475767" cy="2604977"/>
            <wp:effectExtent l="0" t="0" r="0" b="0"/>
            <wp:wrapNone/>
            <wp:docPr id="44" name="Объект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3D5F6A">
        <w:rPr>
          <w:rFonts w:ascii="Times New Roman" w:hAnsi="Times New Roman"/>
          <w:color w:val="000000"/>
          <w:sz w:val="28"/>
          <w:szCs w:val="28"/>
        </w:rPr>
        <w:t xml:space="preserve">      Самый большой доход от оказания платных услуг в 2016 году среди автономных учреждений получен:</w:t>
      </w:r>
    </w:p>
    <w:p w:rsidR="004F6A3F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  <w:r w:rsidRPr="00EE3835">
        <w:rPr>
          <w:rFonts w:ascii="Times New Roman" w:hAnsi="Times New Roman"/>
          <w:color w:val="000000"/>
          <w:sz w:val="32"/>
          <w:szCs w:val="32"/>
        </w:rPr>
        <w:tab/>
      </w:r>
    </w:p>
    <w:p w:rsidR="004F6A3F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A3F" w:rsidRPr="003D5F6A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5F6A">
        <w:rPr>
          <w:rFonts w:ascii="Times New Roman" w:hAnsi="Times New Roman"/>
          <w:color w:val="000000"/>
          <w:sz w:val="28"/>
          <w:szCs w:val="28"/>
        </w:rPr>
        <w:t>Самый большой доход от оказания платных услуг в 2016 году среди бюджетных учреждений получен:</w:t>
      </w:r>
    </w:p>
    <w:p w:rsidR="004F6A3F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lastRenderedPageBreak/>
        <w:drawing>
          <wp:anchor distT="871728" distB="894803" distL="864108" distR="155321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51435</wp:posOffset>
            </wp:positionV>
            <wp:extent cx="4908550" cy="2785110"/>
            <wp:effectExtent l="0" t="0" r="6350" b="0"/>
            <wp:wrapNone/>
            <wp:docPr id="45" name="Объект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4F6A3F" w:rsidRPr="00EE3835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EE3835" w:rsidRDefault="004F6A3F" w:rsidP="00016C8B">
      <w:pPr>
        <w:pStyle w:val="ae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Default="004F6A3F" w:rsidP="00016C8B">
      <w:pPr>
        <w:pStyle w:val="ae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F6A3F" w:rsidRPr="003D5F6A" w:rsidRDefault="004F6A3F" w:rsidP="00016C8B">
      <w:pPr>
        <w:tabs>
          <w:tab w:val="left" w:pos="54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</w:t>
      </w:r>
      <w:r w:rsidRPr="00092E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Анализируя деятельность учреждений культуры муниципального образования по оказанию платных услуг населению, можно сделать вывод, что перспективы развития платных услуг возможны в каждом учреждении. Управлением культуры уделяется особое внимание развитию различных видов и форм платного обслуживания населения.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5F6A">
        <w:rPr>
          <w:rFonts w:ascii="Times New Roman" w:hAnsi="Times New Roman"/>
          <w:sz w:val="28"/>
          <w:szCs w:val="28"/>
        </w:rPr>
        <w:t>Исходя из полученных данных, приоритетными направлениями развития отрасли «Культура» в 2016 году стали:</w:t>
      </w:r>
    </w:p>
    <w:p w:rsidR="004F6A3F" w:rsidRPr="003D5F6A" w:rsidRDefault="004F6A3F" w:rsidP="00016C8B">
      <w:pPr>
        <w:pStyle w:val="2"/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F6A">
        <w:rPr>
          <w:rFonts w:ascii="Times New Roman" w:hAnsi="Times New Roman"/>
          <w:sz w:val="28"/>
          <w:szCs w:val="28"/>
        </w:rPr>
        <w:t>повышение качества жизни граждан, увеличение доли населения, участвующего в культурной деятельности;</w:t>
      </w:r>
    </w:p>
    <w:p w:rsidR="004F6A3F" w:rsidRPr="003D5F6A" w:rsidRDefault="004F6A3F" w:rsidP="00016C8B">
      <w:pPr>
        <w:pStyle w:val="2"/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F6A">
        <w:rPr>
          <w:rFonts w:ascii="Times New Roman" w:hAnsi="Times New Roman"/>
          <w:sz w:val="28"/>
          <w:szCs w:val="28"/>
        </w:rPr>
        <w:t>обеспечение целостного и разнообразного культурного пространства города Новороссийска, интеграция культуры Новороссийска в культурный процесс Краснодарского края;</w:t>
      </w:r>
    </w:p>
    <w:p w:rsidR="004F6A3F" w:rsidRPr="003D5F6A" w:rsidRDefault="004F6A3F" w:rsidP="00016C8B">
      <w:pPr>
        <w:pStyle w:val="2"/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F6A">
        <w:rPr>
          <w:rFonts w:ascii="Times New Roman" w:hAnsi="Times New Roman"/>
          <w:sz w:val="28"/>
          <w:szCs w:val="28"/>
        </w:rPr>
        <w:t>развитие экономики и социальной сферы области путем освоения культурных ресурсов, формирования инвестиционной привлекательности города как территории с насыщенной культурной средой;</w:t>
      </w:r>
    </w:p>
    <w:p w:rsidR="004F6A3F" w:rsidRPr="003D5F6A" w:rsidRDefault="004F6A3F" w:rsidP="00016C8B">
      <w:pPr>
        <w:pStyle w:val="2"/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5F6A">
        <w:rPr>
          <w:rFonts w:ascii="Times New Roman" w:hAnsi="Times New Roman"/>
          <w:sz w:val="28"/>
          <w:szCs w:val="28"/>
        </w:rPr>
        <w:t>создание устойчивых форм и механизмов финансовой поддержки развития культуры в условиях экономии бюджетных средств;</w:t>
      </w:r>
    </w:p>
    <w:p w:rsidR="004F6A3F" w:rsidRPr="004675A8" w:rsidRDefault="004F6A3F" w:rsidP="00016C8B">
      <w:pPr>
        <w:pStyle w:val="2"/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5A8">
        <w:rPr>
          <w:rFonts w:ascii="Times New Roman" w:hAnsi="Times New Roman"/>
          <w:sz w:val="28"/>
          <w:szCs w:val="28"/>
        </w:rPr>
        <w:t xml:space="preserve">повышение конкурентоспособности учреждений культуры на рынке культурных услуг, привлечение внебюджетных средств и развитие сети платных услуг. </w:t>
      </w:r>
    </w:p>
    <w:p w:rsidR="004F6A3F" w:rsidRPr="00092E8F" w:rsidRDefault="004F6A3F" w:rsidP="00016C8B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092E8F">
        <w:rPr>
          <w:sz w:val="28"/>
          <w:szCs w:val="28"/>
        </w:rPr>
        <w:tab/>
      </w:r>
      <w:r w:rsidRPr="00092E8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Типичные потребители услуг в сфере культуры — это дети, подростки, ветераны. Работа с ними, с очевидностью, необходима, но кто должен оплачивать оказываемые им услуги? Зачастую — не они сами. Что-то оплачивают родители, что-то поддерживается бюджетными средствами, что-то — заинтересованными в такой деятельности донорами, что-то — благотворительными фондами и т. д. Фактически в сфере культуры действуют, как минимум, два рынка: рынок потребителей и рынок доноров. И не всегда можно сказать, какой из этих рынков первичен: то ли сначала определяются виды работ с потребителями и затем ищутся доноры на их поддержку, то ли потребители подбираются для обеспечения интересов </w:t>
      </w:r>
      <w:r w:rsidRPr="00092E8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 xml:space="preserve">доноров, готовых платить деньги за определенные виды работ с этими группами. </w:t>
      </w:r>
    </w:p>
    <w:p w:rsidR="004F6A3F" w:rsidRPr="00092E8F" w:rsidRDefault="004F6A3F" w:rsidP="00016C8B">
      <w:pPr>
        <w:spacing w:after="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 w:rsidRPr="00092E8F">
        <w:rPr>
          <w:rFonts w:ascii="Times New Roman" w:hAnsi="Times New Roman"/>
          <w:kern w:val="16"/>
          <w:sz w:val="28"/>
          <w:szCs w:val="28"/>
        </w:rPr>
        <w:t xml:space="preserve">Для расширения и развития спектра платных услуг в сфере  культуры муниципального образования город Новороссийск необходимо решить следующие задачи: </w:t>
      </w:r>
    </w:p>
    <w:p w:rsidR="004F6A3F" w:rsidRPr="00092E8F" w:rsidRDefault="004F6A3F" w:rsidP="00016C8B">
      <w:pPr>
        <w:framePr w:hSpace="180" w:wrap="around" w:vAnchor="text" w:hAnchor="page" w:x="1093" w:y="279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6A3F" w:rsidRPr="00092E8F" w:rsidRDefault="004F6A3F" w:rsidP="00016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>- укрепление материально-технической базы учреждений;</w:t>
      </w:r>
    </w:p>
    <w:p w:rsidR="004F6A3F" w:rsidRPr="00092E8F" w:rsidRDefault="004F6A3F" w:rsidP="00016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>- изучение интересов жителей города;</w:t>
      </w:r>
    </w:p>
    <w:p w:rsidR="004F6A3F" w:rsidRPr="00092E8F" w:rsidRDefault="004F6A3F" w:rsidP="00016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>- расширение платных услуг в сфере культуры;</w:t>
      </w:r>
    </w:p>
    <w:p w:rsidR="004F6A3F" w:rsidRPr="00092E8F" w:rsidRDefault="004F6A3F" w:rsidP="00016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>- привлечение квалифицированных кадров;</w:t>
      </w:r>
    </w:p>
    <w:p w:rsidR="004F6A3F" w:rsidRPr="00092E8F" w:rsidRDefault="004F6A3F" w:rsidP="00016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E8F">
        <w:rPr>
          <w:rFonts w:ascii="Times New Roman" w:hAnsi="Times New Roman"/>
          <w:sz w:val="28"/>
          <w:szCs w:val="28"/>
        </w:rPr>
        <w:t>- открытие новых клубных учреждений и многофункциональных центров.</w:t>
      </w:r>
    </w:p>
    <w:p w:rsidR="00ED607B" w:rsidRPr="00637AD0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7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2.3.7. Р</w:t>
      </w:r>
      <w:r w:rsidR="00ED607B" w:rsidRPr="00637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жилищно-коммунального хозяйства.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008" w:rsidRDefault="00AD2008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предприятий отрасли ЖКХ составляет 84 предприятия, в том числе:</w:t>
      </w:r>
    </w:p>
    <w:p w:rsidR="00AD2008" w:rsidRDefault="00AD2008" w:rsidP="00016C8B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коммунальном хозяйстве 13 предприятий (водопроводно-канализационное хозяйство – 1, электроснабжение – 3, газоснабжение – 1, теплоснабжение – 15, утилизация отходов – 2);</w:t>
      </w:r>
    </w:p>
    <w:p w:rsidR="00AD2008" w:rsidRDefault="00AD2008" w:rsidP="00016C8B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жилищных услуг – 47 управляющая компания и 9 санитарно-транспортных компаний</w:t>
      </w:r>
    </w:p>
    <w:p w:rsidR="00AD2008" w:rsidRDefault="00AD2008" w:rsidP="00016C8B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 5 МБУ с автономными техническими базами и 1 МУП по содержанию мест захоронения</w:t>
      </w:r>
    </w:p>
    <w:p w:rsidR="00AD2008" w:rsidRPr="00CE7E80" w:rsidRDefault="00AD200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E80">
        <w:rPr>
          <w:rFonts w:ascii="Times New Roman" w:hAnsi="Times New Roman"/>
          <w:spacing w:val="-6"/>
          <w:kern w:val="16"/>
          <w:sz w:val="28"/>
          <w:szCs w:val="28"/>
          <w:lang w:eastAsia="ru-RU"/>
        </w:rPr>
        <w:t>Объем оказываемых жилищных и коммунальных услуг в общем объеме платных услуг населению по полному кругу организаций составляет 27,2%.</w:t>
      </w:r>
    </w:p>
    <w:p w:rsidR="00AD2008" w:rsidRDefault="00AD2008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008" w:rsidRDefault="00AD2008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потребителей качеством товаров, работ и услуг среди населения (опрос проведен среди 2260 респондентов):</w:t>
      </w:r>
    </w:p>
    <w:p w:rsidR="00AD2008" w:rsidRDefault="00AD2008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02101"/>
            <wp:effectExtent l="19050" t="0" r="22860" b="0"/>
            <wp:docPr id="46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D2008" w:rsidRDefault="00AD2008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008" w:rsidRDefault="00AD2008" w:rsidP="00016C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Косвенно, рост неудовлетворенности потребителей качество услуг ЖКХ подтверждается ростом обращений в службу безопасный город. Так, в течение 2016 года на телефоны диспетчерской службы поступило 7 657 </w:t>
      </w:r>
      <w:r>
        <w:rPr>
          <w:rFonts w:ascii="Times New Roman" w:hAnsi="Times New Roman" w:cs="Times New Roman"/>
          <w:sz w:val="28"/>
          <w:szCs w:val="28"/>
        </w:rPr>
        <w:lastRenderedPageBreak/>
        <w:t>звонков с жалобами на качество коммунальных услуг. В сравнении с 2015 годом</w:t>
      </w:r>
    </w:p>
    <w:p w:rsidR="00AD2008" w:rsidRDefault="00AD2008" w:rsidP="00016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008" w:rsidRDefault="00AD2008" w:rsidP="00016C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10" cy="2488019"/>
            <wp:effectExtent l="19050" t="0" r="9540" b="7531"/>
            <wp:docPr id="47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D2008" w:rsidRDefault="00AD2008" w:rsidP="00016C8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008" w:rsidRDefault="00AD2008" w:rsidP="00016C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опроса, проведенного МАУ «Городской социологический центр», темой которого стало изучение мнения населения города </w:t>
      </w:r>
      <w:r w:rsidRPr="00852CF8">
        <w:rPr>
          <w:rFonts w:ascii="Times New Roman" w:hAnsi="Times New Roman" w:cs="Times New Roman"/>
          <w:sz w:val="28"/>
          <w:szCs w:val="28"/>
        </w:rPr>
        <w:t>о коммунально-инженерной инфраструктуре города,  работе управляющих компаний, качестве предоставляемых коммунальных услуг в начале отопительного сезона 2016-2017 гг.</w:t>
      </w:r>
    </w:p>
    <w:p w:rsidR="00AD2008" w:rsidRPr="00852CF8" w:rsidRDefault="00AD2008" w:rsidP="0001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3AB">
        <w:rPr>
          <w:rFonts w:ascii="Times New Roman" w:hAnsi="Times New Roman" w:cs="Times New Roman"/>
          <w:sz w:val="28"/>
          <w:szCs w:val="28"/>
        </w:rPr>
        <w:t xml:space="preserve">В начале исследования респондентам было предложено оценить состояние коммунально-инженерных структур непосредственно в домах их проживания, а также степень удовлетворенности получаемыми по месту проживания коммунальными услугами. Как видно из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2CF8">
        <w:rPr>
          <w:rFonts w:ascii="Times New Roman" w:hAnsi="Times New Roman" w:cs="Times New Roman"/>
          <w:sz w:val="28"/>
          <w:szCs w:val="28"/>
        </w:rPr>
        <w:t xml:space="preserve">иаграммы </w:t>
      </w:r>
    </w:p>
    <w:p w:rsidR="00AD2008" w:rsidRDefault="00AD2008" w:rsidP="00016C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2456" cy="1520456"/>
            <wp:effectExtent l="0" t="0" r="0" b="0"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D2008" w:rsidRPr="00F43F5E" w:rsidRDefault="00AD2008" w:rsidP="00016C8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</w:t>
      </w:r>
      <w:r w:rsidRPr="008E43AB">
        <w:rPr>
          <w:rFonts w:ascii="Times New Roman" w:hAnsi="Times New Roman" w:cs="Times New Roman"/>
          <w:sz w:val="28"/>
          <w:szCs w:val="28"/>
        </w:rPr>
        <w:t xml:space="preserve"> оценили состояние коммунально-инженерных структур в своих домах как «хорошее» и «удовлетворительное». Лишь н</w:t>
      </w:r>
      <w:r>
        <w:rPr>
          <w:rFonts w:ascii="Times New Roman" w:hAnsi="Times New Roman" w:cs="Times New Roman"/>
          <w:sz w:val="28"/>
          <w:szCs w:val="28"/>
        </w:rPr>
        <w:t>ебольшой процент ответивших (6,5</w:t>
      </w:r>
      <w:r w:rsidRPr="008E43AB">
        <w:rPr>
          <w:rFonts w:ascii="Times New Roman" w:hAnsi="Times New Roman" w:cs="Times New Roman"/>
          <w:sz w:val="28"/>
          <w:szCs w:val="28"/>
        </w:rPr>
        <w:t xml:space="preserve">%) характеризовал его как «отличное».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8E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новороссийцев</w:t>
      </w:r>
      <w:r w:rsidRPr="008E43AB">
        <w:rPr>
          <w:rFonts w:ascii="Times New Roman" w:hAnsi="Times New Roman" w:cs="Times New Roman"/>
          <w:sz w:val="28"/>
          <w:szCs w:val="28"/>
        </w:rPr>
        <w:t xml:space="preserve"> выбрало вариант «неудовлетворительно». Таким образом, несмотря на то, что большинство респондентов придерживалось средних оценок, </w:t>
      </w:r>
      <w:r>
        <w:rPr>
          <w:rFonts w:ascii="Times New Roman" w:hAnsi="Times New Roman" w:cs="Times New Roman"/>
          <w:sz w:val="28"/>
          <w:szCs w:val="28"/>
        </w:rPr>
        <w:t>четвертая</w:t>
      </w:r>
      <w:r w:rsidRPr="008E43AB">
        <w:rPr>
          <w:rFonts w:ascii="Times New Roman" w:hAnsi="Times New Roman" w:cs="Times New Roman"/>
          <w:sz w:val="28"/>
          <w:szCs w:val="28"/>
        </w:rPr>
        <w:t xml:space="preserve"> их часть резко недовольна состоянием коммунально-инженерных структур в домах. По сравнению с количеством выбравших вариант «отлично», проблема становится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3AB">
        <w:rPr>
          <w:rFonts w:ascii="Times New Roman" w:hAnsi="Times New Roman" w:cs="Times New Roman"/>
          <w:sz w:val="28"/>
          <w:szCs w:val="28"/>
        </w:rPr>
        <w:t xml:space="preserve"> очевиднее.</w:t>
      </w:r>
      <w:r w:rsidRPr="00F4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F5E">
        <w:rPr>
          <w:rFonts w:ascii="Times New Roman" w:hAnsi="Times New Roman" w:cs="Times New Roman"/>
          <w:sz w:val="28"/>
          <w:szCs w:val="28"/>
        </w:rPr>
        <w:t xml:space="preserve"> увеличением возраста опрошенных увеличивается число респондентов, недовольных состоянием коммунально-инженерной инфраструктуры в домах их проживания.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F5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5E">
        <w:rPr>
          <w:rFonts w:ascii="Times New Roman" w:hAnsi="Times New Roman" w:cs="Times New Roman"/>
          <w:sz w:val="28"/>
          <w:szCs w:val="28"/>
        </w:rPr>
        <w:t xml:space="preserve"> склонны более критично оценивать недочеты коммунальной сферы в силу большего внимания, которое ей уделяют.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F43F5E">
        <w:rPr>
          <w:rFonts w:ascii="Times New Roman" w:hAnsi="Times New Roman" w:cs="Times New Roman"/>
          <w:sz w:val="28"/>
          <w:szCs w:val="28"/>
        </w:rPr>
        <w:t xml:space="preserve">, чем старше становится человек, </w:t>
      </w:r>
      <w:r w:rsidRPr="00F43F5E">
        <w:rPr>
          <w:rFonts w:ascii="Times New Roman" w:hAnsi="Times New Roman" w:cs="Times New Roman"/>
          <w:sz w:val="28"/>
          <w:szCs w:val="28"/>
        </w:rPr>
        <w:lastRenderedPageBreak/>
        <w:t xml:space="preserve">тем большее количество бытовых трудностей начинает вызывать у него дискомфорт. </w:t>
      </w:r>
    </w:p>
    <w:p w:rsidR="00AD2008" w:rsidRPr="008E43AB" w:rsidRDefault="00AD2008" w:rsidP="00016C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52CF8"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6092456" cy="1924493"/>
            <wp:effectExtent l="0" t="0" r="0" b="0"/>
            <wp:docPr id="4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D2008" w:rsidRPr="00852CF8" w:rsidRDefault="00AD2008" w:rsidP="00016C8B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852CF8">
        <w:rPr>
          <w:rFonts w:ascii="Times New Roman" w:hAnsi="Times New Roman" w:cs="Times New Roman"/>
          <w:b/>
          <w:color w:val="244061" w:themeColor="accent1" w:themeShade="80"/>
        </w:rPr>
        <w:t>Оцените степень своей удовлетворенности коммунальными услугами, получаемыми по месту вашего проживания.</w:t>
      </w:r>
    </w:p>
    <w:p w:rsidR="00AD2008" w:rsidRDefault="00AD2008" w:rsidP="00016C8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08" w:rsidRDefault="00AD2008" w:rsidP="00016C8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1F">
        <w:rPr>
          <w:rFonts w:ascii="Times New Roman" w:hAnsi="Times New Roman" w:cs="Times New Roman"/>
          <w:sz w:val="28"/>
          <w:szCs w:val="28"/>
        </w:rPr>
        <w:t>При оценке удовлетворенности получаемыми коммунальными услугами ответы распределились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з</w:t>
      </w:r>
      <w:r w:rsidRPr="007B301F">
        <w:rPr>
          <w:rFonts w:ascii="Times New Roman" w:hAnsi="Times New Roman" w:cs="Times New Roman"/>
          <w:sz w:val="28"/>
          <w:szCs w:val="28"/>
        </w:rPr>
        <w:t xml:space="preserve">десь процент респондентов, оценивших степень своей удовлетворенности как «высокую» и «скорее высокую» </w:t>
      </w:r>
      <w:r>
        <w:rPr>
          <w:rFonts w:ascii="Times New Roman" w:hAnsi="Times New Roman" w:cs="Times New Roman"/>
          <w:sz w:val="28"/>
          <w:szCs w:val="28"/>
        </w:rPr>
        <w:t xml:space="preserve">еще ниже. </w:t>
      </w:r>
      <w:r w:rsidRPr="007B301F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ьшая часть</w:t>
      </w:r>
      <w:r w:rsidRPr="007B301F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>
        <w:rPr>
          <w:rFonts w:ascii="Times New Roman" w:hAnsi="Times New Roman" w:cs="Times New Roman"/>
          <w:sz w:val="28"/>
          <w:szCs w:val="28"/>
        </w:rPr>
        <w:t>42,0</w:t>
      </w:r>
      <w:r w:rsidRPr="007B301F">
        <w:rPr>
          <w:rFonts w:ascii="Times New Roman" w:hAnsi="Times New Roman" w:cs="Times New Roman"/>
          <w:sz w:val="28"/>
          <w:szCs w:val="28"/>
        </w:rPr>
        <w:t>%) оценили свою удовлетворенность «</w:t>
      </w:r>
      <w:r>
        <w:rPr>
          <w:rFonts w:ascii="Times New Roman" w:hAnsi="Times New Roman" w:cs="Times New Roman"/>
          <w:sz w:val="28"/>
          <w:szCs w:val="28"/>
        </w:rPr>
        <w:t>ниже среднего</w:t>
      </w:r>
      <w:r w:rsidRPr="007B30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2008" w:rsidRDefault="00AD2008" w:rsidP="00016C8B">
      <w:pPr>
        <w:pStyle w:val="a3"/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279">
        <w:rPr>
          <w:rFonts w:ascii="Times New Roman" w:hAnsi="Times New Roman" w:cs="Times New Roman"/>
          <w:sz w:val="28"/>
          <w:szCs w:val="28"/>
        </w:rPr>
        <w:t xml:space="preserve">Затем респондентов попросили оценить общее качество изменений, произошедших в отношении предоставляемых коммунальных услуг за прошедший год. </w:t>
      </w:r>
      <w:r>
        <w:rPr>
          <w:rFonts w:ascii="Times New Roman" w:hAnsi="Times New Roman" w:cs="Times New Roman"/>
          <w:sz w:val="28"/>
          <w:szCs w:val="28"/>
        </w:rPr>
        <w:t>Большинство респондентов</w:t>
      </w:r>
      <w:r w:rsidRPr="003E6279">
        <w:rPr>
          <w:rFonts w:ascii="Times New Roman" w:hAnsi="Times New Roman" w:cs="Times New Roman"/>
          <w:sz w:val="28"/>
          <w:szCs w:val="28"/>
        </w:rPr>
        <w:t xml:space="preserve"> признали, что качество услуг осталось прежним</w:t>
      </w:r>
      <w:r>
        <w:rPr>
          <w:rFonts w:ascii="Times New Roman" w:hAnsi="Times New Roman" w:cs="Times New Roman"/>
          <w:sz w:val="28"/>
          <w:szCs w:val="28"/>
        </w:rPr>
        <w:t>, причем, весьма сомнительного качества.</w:t>
      </w:r>
    </w:p>
    <w:p w:rsidR="00AD2008" w:rsidRDefault="00AD2008" w:rsidP="00016C8B">
      <w:pPr>
        <w:pStyle w:val="a3"/>
        <w:spacing w:after="0" w:line="240" w:lineRule="auto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B963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4865" cy="1116418"/>
            <wp:effectExtent l="0" t="0" r="0" b="0"/>
            <wp:docPr id="5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D2008" w:rsidRDefault="00AD2008" w:rsidP="00016C8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279">
        <w:rPr>
          <w:rFonts w:ascii="Times New Roman" w:hAnsi="Times New Roman" w:cs="Times New Roman"/>
          <w:sz w:val="28"/>
          <w:szCs w:val="28"/>
        </w:rPr>
        <w:t xml:space="preserve">Здесь можно сделать вывод о том, что усилия, предпринятые городскими властями в направлении совершенствования предоставления коммунальных услуг за последний год, в лучшем случае остались незамеченными. В большей же степени они оценены негативно. Важно учитывать, что эти мнения основываются на личном опыте, поскольку речь идет об услугах, предоставляемых именно по месту проживания респондентов. </w:t>
      </w:r>
      <w:r>
        <w:rPr>
          <w:rFonts w:ascii="Times New Roman" w:hAnsi="Times New Roman" w:cs="Times New Roman"/>
          <w:sz w:val="28"/>
          <w:szCs w:val="28"/>
        </w:rPr>
        <w:t>Отсутствие позитивных изменений</w:t>
      </w:r>
      <w:r w:rsidRPr="003E6279">
        <w:rPr>
          <w:rFonts w:ascii="Times New Roman" w:hAnsi="Times New Roman" w:cs="Times New Roman"/>
          <w:sz w:val="28"/>
          <w:szCs w:val="28"/>
        </w:rPr>
        <w:t xml:space="preserve"> можно связать как с возрастающими ценами на коммунальные услуги (и усложнившейся системой расчетов</w:t>
      </w:r>
      <w:r>
        <w:rPr>
          <w:rFonts w:ascii="Times New Roman" w:hAnsi="Times New Roman" w:cs="Times New Roman"/>
          <w:sz w:val="28"/>
          <w:szCs w:val="28"/>
        </w:rPr>
        <w:t>, нерешенной проблемой организации платежей в ГРЦ</w:t>
      </w:r>
      <w:r w:rsidRPr="003E6279">
        <w:rPr>
          <w:rFonts w:ascii="Times New Roman" w:hAnsi="Times New Roman" w:cs="Times New Roman"/>
          <w:sz w:val="28"/>
          <w:szCs w:val="28"/>
        </w:rPr>
        <w:t xml:space="preserve">), так и с </w:t>
      </w:r>
      <w:r>
        <w:rPr>
          <w:rFonts w:ascii="Times New Roman" w:hAnsi="Times New Roman" w:cs="Times New Roman"/>
          <w:sz w:val="28"/>
          <w:szCs w:val="28"/>
        </w:rPr>
        <w:t xml:space="preserve">участившимися попытками недобросовестных </w:t>
      </w:r>
      <w:r w:rsidRPr="003E6279">
        <w:rPr>
          <w:rFonts w:ascii="Times New Roman" w:hAnsi="Times New Roman" w:cs="Times New Roman"/>
          <w:sz w:val="28"/>
          <w:szCs w:val="28"/>
        </w:rPr>
        <w:t xml:space="preserve">управляющих организаций </w:t>
      </w:r>
      <w:r>
        <w:rPr>
          <w:rFonts w:ascii="Times New Roman" w:hAnsi="Times New Roman" w:cs="Times New Roman"/>
          <w:sz w:val="28"/>
          <w:szCs w:val="28"/>
        </w:rPr>
        <w:t>в нечестной конкуренции навязать свои услуги собственникам.</w:t>
      </w:r>
    </w:p>
    <w:p w:rsidR="00AD2008" w:rsidRDefault="00AD2008" w:rsidP="00016C8B">
      <w:pPr>
        <w:pStyle w:val="a3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008" w:rsidRPr="00B453B5" w:rsidRDefault="00AD2008" w:rsidP="00016C8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Среди опрошенных</w:t>
      </w:r>
      <w:r w:rsidRPr="009A6C66">
        <w:rPr>
          <w:rFonts w:ascii="Times New Roman" w:hAnsi="Times New Roman" w:cs="Times New Roman"/>
          <w:sz w:val="28"/>
          <w:szCs w:val="28"/>
        </w:rPr>
        <w:t xml:space="preserve"> хозяйствующ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6C6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 (81 ед.)</w:t>
      </w:r>
      <w:r w:rsidRPr="009A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респондентов,</w:t>
      </w:r>
      <w:r w:rsidRPr="009A6C66">
        <w:rPr>
          <w:rFonts w:ascii="Times New Roman" w:hAnsi="Times New Roman" w:cs="Times New Roman"/>
          <w:sz w:val="28"/>
          <w:szCs w:val="28"/>
        </w:rPr>
        <w:t xml:space="preserve"> относя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9A6C66">
        <w:rPr>
          <w:rFonts w:ascii="Times New Roman" w:hAnsi="Times New Roman" w:cs="Times New Roman"/>
          <w:sz w:val="28"/>
          <w:szCs w:val="28"/>
        </w:rPr>
        <w:t xml:space="preserve"> к отрасли ЖКХ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Pr="009A6C66">
        <w:rPr>
          <w:rFonts w:ascii="Times New Roman" w:hAnsi="Times New Roman" w:cs="Times New Roman"/>
          <w:sz w:val="28"/>
          <w:szCs w:val="28"/>
        </w:rPr>
        <w:t xml:space="preserve">. При этом респонденты считают уровень конкуренции на рынке аналогичных услуг низким. Наиболее существенными для ведения текущей деятельности или открытия нового </w:t>
      </w:r>
      <w:r w:rsidRPr="00B453B5">
        <w:rPr>
          <w:rFonts w:ascii="Times New Roman" w:hAnsi="Times New Roman" w:cs="Times New Roman"/>
          <w:sz w:val="28"/>
          <w:szCs w:val="28"/>
        </w:rPr>
        <w:t xml:space="preserve">бизнеса на рынке  административными барьерами, по мнению респондентов, </w:t>
      </w:r>
      <w:r w:rsidRPr="00B453B5">
        <w:rPr>
          <w:rFonts w:ascii="Times New Roman" w:hAnsi="Times New Roman" w:cs="Times New Roman"/>
          <w:sz w:val="28"/>
          <w:szCs w:val="28"/>
        </w:rPr>
        <w:lastRenderedPageBreak/>
        <w:t>являются: лицензирование, аренда и приобретение зданий, помещений, получение земельных участков под строительство, получение разрешения на строительство, перевод помещений в нежилые.</w:t>
      </w:r>
    </w:p>
    <w:p w:rsidR="00AD2008" w:rsidRPr="00B453B5" w:rsidRDefault="00AD2008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453B5">
        <w:rPr>
          <w:rFonts w:ascii="Times New Roman" w:hAnsi="Times New Roman"/>
          <w:spacing w:val="-6"/>
          <w:kern w:val="16"/>
          <w:sz w:val="28"/>
          <w:szCs w:val="28"/>
        </w:rPr>
        <w:t>В силу технологических ограничений, объекты инженерной коммунальной инфраструктуры имеют низкий потенциал развития конкуренции.  Коммунальные организации являются локальными монополиями, что объективно ограничивает возможность развития конкуренции на рынке предоставления услуг. Монополия в данной сфере является объективно обусловленной и предпочтительной, как с технологической, так и с позиций экономической эффективности ее функционирования.</w:t>
      </w:r>
    </w:p>
    <w:p w:rsidR="00AD2008" w:rsidRPr="009A6C66" w:rsidRDefault="00AD200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B5">
        <w:rPr>
          <w:rFonts w:ascii="Times New Roman" w:hAnsi="Times New Roman" w:cs="Times New Roman"/>
          <w:sz w:val="28"/>
          <w:szCs w:val="28"/>
        </w:rPr>
        <w:t>В целях развития конкуренции</w:t>
      </w:r>
      <w:r w:rsidRPr="009A6C66">
        <w:rPr>
          <w:rFonts w:ascii="Times New Roman" w:hAnsi="Times New Roman" w:cs="Times New Roman"/>
          <w:sz w:val="28"/>
          <w:szCs w:val="28"/>
        </w:rPr>
        <w:t xml:space="preserve"> и удовлетворенности качеством товаров, работ и услуг, а также модернизации коммунальной инфраструктуры решением городской Думы муниципального образования город Новороссийск от 25 июня 2013 года утверждена «Программа комплексного развития систем коммунальной инфраструктуры муниципального образования город Новороссийск на 2013-2041 годы».</w:t>
      </w:r>
    </w:p>
    <w:p w:rsidR="00AD2008" w:rsidRPr="009A6C66" w:rsidRDefault="00AD200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6">
        <w:rPr>
          <w:rFonts w:ascii="Times New Roman" w:hAnsi="Times New Roman" w:cs="Times New Roman"/>
          <w:sz w:val="28"/>
          <w:szCs w:val="28"/>
        </w:rPr>
        <w:t>В соответствии с утвержденной Программой комплексного развития коммунальной инфраструктуры на территории муниципального образования реализуется инвестиционные программы:</w:t>
      </w:r>
    </w:p>
    <w:p w:rsidR="00AD2008" w:rsidRPr="009A6C66" w:rsidRDefault="00AD200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6">
        <w:rPr>
          <w:rFonts w:ascii="Times New Roman" w:hAnsi="Times New Roman" w:cs="Times New Roman"/>
          <w:sz w:val="28"/>
          <w:szCs w:val="28"/>
        </w:rPr>
        <w:t>- «Модернизация систем коммунальной инфраструктуры в сфере водоснабжения и водоотведения муниципального образования город Новороссийск на 2013-2021 годы), утвержденная решением городской Думы № 494 от 21 июля 2015 года;</w:t>
      </w:r>
    </w:p>
    <w:p w:rsidR="00AD2008" w:rsidRPr="00B453B5" w:rsidRDefault="00AD2008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6">
        <w:rPr>
          <w:rFonts w:ascii="Times New Roman" w:hAnsi="Times New Roman" w:cs="Times New Roman"/>
          <w:sz w:val="28"/>
          <w:szCs w:val="28"/>
        </w:rPr>
        <w:t xml:space="preserve">- «Развития объектов утилизации (захоронения) твердых коммунальных отходов ООО «Терра-Н» на 2016-2018 годы», утвержденная </w:t>
      </w:r>
      <w:r w:rsidRPr="00B453B5">
        <w:rPr>
          <w:rFonts w:ascii="Times New Roman" w:hAnsi="Times New Roman" w:cs="Times New Roman"/>
          <w:sz w:val="28"/>
          <w:szCs w:val="28"/>
        </w:rPr>
        <w:t>решением городской Думы № 45 от 22 декабря 2015 года.</w:t>
      </w:r>
    </w:p>
    <w:p w:rsidR="00AD2008" w:rsidRPr="00B453B5" w:rsidRDefault="00AD2008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453B5">
        <w:rPr>
          <w:rFonts w:ascii="Times New Roman" w:hAnsi="Times New Roman"/>
          <w:spacing w:val="-6"/>
          <w:kern w:val="16"/>
          <w:sz w:val="28"/>
          <w:szCs w:val="28"/>
        </w:rPr>
        <w:t>Наиболее благоприятные тенденции развития конкурентных отношений между организациями различных организационно-правовых форм сложильсь в сфере предоставления услуг по управлению многоквартирными домами, капитального и текущего ремонта жилищного фонда. Рынок управляющих компаний в основном сформирован, действует 41 управляющая компания, предоставляющих услуги по управлению многоквартирными домами, при этом доля организаций частной формы собственности составила 97,6%.</w:t>
      </w:r>
    </w:p>
    <w:p w:rsidR="00AD2008" w:rsidRPr="00B963E9" w:rsidRDefault="00AD2008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453B5">
        <w:rPr>
          <w:rFonts w:ascii="Times New Roman" w:hAnsi="Times New Roman"/>
          <w:spacing w:val="-6"/>
          <w:kern w:val="16"/>
          <w:sz w:val="28"/>
          <w:szCs w:val="28"/>
        </w:rPr>
        <w:t xml:space="preserve">Основная доля объектов энергетики, теплоснабжения, утилизации твердых бытовых отходов, ранее была реализована негосударственным (немуниципальным) предприятиям, осуществляющим соответствующую деятельность на территории муниципального образования. В настоящее время в муниципальной собственности находятся объекты водоснабжения и водоотведения, которые переданы в аренду эксплуатирующему их муниципальному унитарному предприятию, фактически являющемуся локальным монополистом. </w:t>
      </w:r>
    </w:p>
    <w:p w:rsidR="00AD2008" w:rsidRPr="001944CC" w:rsidRDefault="00AD2008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6C8B" w:rsidRDefault="00016C8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16C8B" w:rsidRDefault="00016C8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16C8B" w:rsidRDefault="00016C8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607B" w:rsidRPr="001A5A05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5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2.3.8. Р</w:t>
      </w:r>
      <w:r w:rsidR="00ED607B" w:rsidRPr="001A5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озничная торговля.</w:t>
      </w:r>
    </w:p>
    <w:p w:rsidR="001A5A05" w:rsidRDefault="001A5A05" w:rsidP="00016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A05" w:rsidRPr="00855E1E" w:rsidRDefault="001A5A05" w:rsidP="00016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E1E">
        <w:rPr>
          <w:rFonts w:ascii="Times New Roman" w:hAnsi="Times New Roman"/>
          <w:sz w:val="28"/>
          <w:szCs w:val="28"/>
        </w:rPr>
        <w:t xml:space="preserve">Потребительский рынок города Новороссийска обеспечивает сферу конечного потребления товаров и услуг постоянного и временного населения города общей численностью </w:t>
      </w:r>
      <w:r>
        <w:rPr>
          <w:rFonts w:ascii="Times New Roman" w:hAnsi="Times New Roman"/>
          <w:sz w:val="28"/>
          <w:szCs w:val="28"/>
        </w:rPr>
        <w:t>более</w:t>
      </w:r>
      <w:r w:rsidRPr="00855E1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20</w:t>
      </w:r>
      <w:r w:rsidRPr="00855E1E">
        <w:rPr>
          <w:rFonts w:ascii="Times New Roman" w:hAnsi="Times New Roman"/>
          <w:sz w:val="28"/>
          <w:szCs w:val="28"/>
        </w:rPr>
        <w:t xml:space="preserve"> тыс. человек (5,8 %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55E1E">
        <w:rPr>
          <w:rFonts w:ascii="Times New Roman" w:hAnsi="Times New Roman"/>
          <w:sz w:val="28"/>
          <w:szCs w:val="28"/>
        </w:rPr>
        <w:t>населения Краснодарского края</w:t>
      </w:r>
      <w:r>
        <w:rPr>
          <w:rFonts w:ascii="Times New Roman" w:hAnsi="Times New Roman"/>
          <w:sz w:val="28"/>
          <w:szCs w:val="28"/>
        </w:rPr>
        <w:t>).</w:t>
      </w:r>
      <w:r w:rsidRPr="00855E1E">
        <w:rPr>
          <w:rFonts w:ascii="Times New Roman" w:hAnsi="Times New Roman"/>
          <w:sz w:val="28"/>
          <w:szCs w:val="28"/>
        </w:rPr>
        <w:t xml:space="preserve">  </w:t>
      </w:r>
    </w:p>
    <w:p w:rsidR="001A5A05" w:rsidRPr="00C718B2" w:rsidRDefault="001A5A05" w:rsidP="00016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Потребительский рынок муниципального образования город Новороссийск насчитывает 3344 предприятий, из которых: 1852 – предприятия розничной торговли,  115 - оптовой торговли, 390-общественного питания, 548  - бытового обслуживания; объектов нестационарных объектов летней торговли – 401; 7 –торговых центров. В отрасли занято более 14573 человек. </w:t>
      </w:r>
    </w:p>
    <w:p w:rsidR="001A5A05" w:rsidRPr="00C718B2" w:rsidRDefault="001A5A05" w:rsidP="00016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Обеспеченность торговыми площадями составляет 417 кв.м. на 1000 жителей при нормативе 280 кв.м. Обеспеченность посадочными местами сети общественного питания составляет 74 места на 1000 человек, при нормативе – 45 посадочных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7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5A05" w:rsidRPr="00C718B2" w:rsidRDefault="001A5A05" w:rsidP="00016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Потребительский рынок города призван обеспечивать условия для полного и своевременного удовлетворения спроса населения на потребительские товары и услуги, качество и безопасность их предоставления, доступность товаров и услуг на всей территории города.</w:t>
      </w:r>
    </w:p>
    <w:p w:rsidR="001A5A05" w:rsidRPr="00855E1E" w:rsidRDefault="001A5A05" w:rsidP="00016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55E1E">
        <w:rPr>
          <w:rFonts w:ascii="Times New Roman" w:hAnsi="Times New Roman"/>
          <w:bCs/>
          <w:sz w:val="28"/>
          <w:szCs w:val="28"/>
        </w:rPr>
        <w:t>В отрасли занято более 35 тыс.человек.</w:t>
      </w:r>
    </w:p>
    <w:p w:rsidR="001A5A05" w:rsidRDefault="001A5A05" w:rsidP="00016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E1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855E1E">
        <w:rPr>
          <w:rFonts w:ascii="Times New Roman" w:hAnsi="Times New Roman"/>
          <w:sz w:val="28"/>
          <w:szCs w:val="28"/>
        </w:rPr>
        <w:t xml:space="preserve"> году оборот розничной торговли </w:t>
      </w:r>
      <w:r>
        <w:rPr>
          <w:rFonts w:ascii="Times New Roman" w:hAnsi="Times New Roman"/>
          <w:sz w:val="28"/>
          <w:szCs w:val="28"/>
        </w:rPr>
        <w:t xml:space="preserve">по полному кругу организаций </w:t>
      </w:r>
      <w:r w:rsidRPr="00855E1E">
        <w:rPr>
          <w:rFonts w:ascii="Times New Roman" w:hAnsi="Times New Roman"/>
          <w:sz w:val="28"/>
          <w:szCs w:val="28"/>
        </w:rPr>
        <w:t>через все кана</w:t>
      </w:r>
      <w:r>
        <w:rPr>
          <w:rFonts w:ascii="Times New Roman" w:hAnsi="Times New Roman"/>
          <w:sz w:val="28"/>
          <w:szCs w:val="28"/>
        </w:rPr>
        <w:t>лы реализации оценивается около 34098,5 млн</w:t>
      </w:r>
      <w:r w:rsidRPr="00855E1E">
        <w:rPr>
          <w:rFonts w:ascii="Times New Roman" w:hAnsi="Times New Roman"/>
          <w:sz w:val="28"/>
          <w:szCs w:val="28"/>
        </w:rPr>
        <w:t xml:space="preserve">. руб., что </w:t>
      </w:r>
      <w:r>
        <w:rPr>
          <w:rFonts w:ascii="Times New Roman" w:hAnsi="Times New Roman"/>
          <w:sz w:val="28"/>
          <w:szCs w:val="28"/>
        </w:rPr>
        <w:t xml:space="preserve">состаляет 108,9% в сопоставимых ценах к уровню 2015 года. </w:t>
      </w:r>
    </w:p>
    <w:p w:rsidR="001A5A05" w:rsidRPr="00FC4A78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городе 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 активно ведется строительство крупноформатных торгово-развлекательных центров,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гипер и 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супермаркетов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- </w:t>
      </w:r>
      <w:r w:rsidRPr="00855E1E">
        <w:rPr>
          <w:rFonts w:ascii="Times New Roman" w:hAnsi="Times New Roman"/>
          <w:sz w:val="28"/>
          <w:szCs w:val="28"/>
        </w:rPr>
        <w:t xml:space="preserve">функционирует более 100  предприятий входящих с состав сетевых компаний. Это </w:t>
      </w:r>
      <w:r>
        <w:rPr>
          <w:rFonts w:ascii="Times New Roman" w:hAnsi="Times New Roman"/>
          <w:sz w:val="28"/>
          <w:szCs w:val="28"/>
        </w:rPr>
        <w:t>г</w:t>
      </w:r>
      <w:r w:rsidRPr="00855E1E">
        <w:rPr>
          <w:rFonts w:ascii="Times New Roman" w:hAnsi="Times New Roman"/>
          <w:sz w:val="28"/>
          <w:szCs w:val="28"/>
        </w:rPr>
        <w:t xml:space="preserve">ипермаркеты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Лента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Магнит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</w:t>
      </w:r>
      <w:r w:rsidRPr="00855E1E">
        <w:rPr>
          <w:rFonts w:ascii="Times New Roman" w:hAnsi="Times New Roman"/>
          <w:sz w:val="28"/>
          <w:szCs w:val="28"/>
        </w:rPr>
        <w:t>ауцентр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гипермаркет игрушек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Бегемот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сеть магазинов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Евросеть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М.Видео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Эльдорадо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, сеть спортивных магазинов </w:t>
      </w:r>
      <w:r>
        <w:rPr>
          <w:rFonts w:ascii="Times New Roman" w:hAnsi="Times New Roman"/>
          <w:sz w:val="28"/>
          <w:szCs w:val="28"/>
        </w:rPr>
        <w:t>«</w:t>
      </w:r>
      <w:r w:rsidRPr="00855E1E">
        <w:rPr>
          <w:rFonts w:ascii="Times New Roman" w:hAnsi="Times New Roman"/>
          <w:sz w:val="28"/>
          <w:szCs w:val="28"/>
        </w:rPr>
        <w:t>Высшая лига</w:t>
      </w:r>
      <w:r>
        <w:rPr>
          <w:rFonts w:ascii="Times New Roman" w:hAnsi="Times New Roman"/>
          <w:sz w:val="28"/>
          <w:szCs w:val="28"/>
        </w:rPr>
        <w:t>»</w:t>
      </w:r>
      <w:r w:rsidRPr="00855E1E">
        <w:rPr>
          <w:rFonts w:ascii="Times New Roman" w:hAnsi="Times New Roman"/>
          <w:sz w:val="28"/>
          <w:szCs w:val="28"/>
        </w:rPr>
        <w:t xml:space="preserve"> и др.</w:t>
      </w:r>
    </w:p>
    <w:p w:rsidR="001A5A05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5E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855E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55E1E">
        <w:rPr>
          <w:rFonts w:ascii="Times New Roman" w:hAnsi="Times New Roman"/>
          <w:sz w:val="28"/>
          <w:szCs w:val="28"/>
        </w:rPr>
        <w:t xml:space="preserve">  введено в </w:t>
      </w:r>
      <w:r>
        <w:rPr>
          <w:rFonts w:ascii="Times New Roman" w:hAnsi="Times New Roman"/>
          <w:sz w:val="28"/>
          <w:szCs w:val="28"/>
        </w:rPr>
        <w:t>эксплуатацию</w:t>
      </w:r>
      <w:r w:rsidRPr="00855E1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</w:t>
      </w:r>
      <w:r w:rsidRPr="00855E1E">
        <w:rPr>
          <w:rFonts w:ascii="Times New Roman" w:hAnsi="Times New Roman"/>
          <w:sz w:val="28"/>
          <w:szCs w:val="28"/>
        </w:rPr>
        <w:t xml:space="preserve"> предприятий потребительской сферы, общая площадь введенных в эксплуатацию объектов составила </w:t>
      </w:r>
      <w:r>
        <w:rPr>
          <w:rFonts w:ascii="Times New Roman" w:hAnsi="Times New Roman"/>
          <w:sz w:val="28"/>
          <w:szCs w:val="28"/>
        </w:rPr>
        <w:t>17084,8</w:t>
      </w:r>
      <w:r w:rsidRPr="00855E1E">
        <w:rPr>
          <w:rFonts w:ascii="Times New Roman" w:hAnsi="Times New Roman"/>
          <w:sz w:val="28"/>
          <w:szCs w:val="28"/>
        </w:rPr>
        <w:t xml:space="preserve"> кв.м.  </w:t>
      </w:r>
    </w:p>
    <w:p w:rsidR="001A5A05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инвестиционный проект по строительству второй очереди Торгового центра «Красная Площадь».</w:t>
      </w:r>
    </w:p>
    <w:p w:rsidR="001A5A05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855E1E">
        <w:rPr>
          <w:rFonts w:ascii="Times New Roman" w:hAnsi="Times New Roman"/>
          <w:sz w:val="28"/>
          <w:szCs w:val="28"/>
        </w:rPr>
        <w:t xml:space="preserve"> городе осуществляют деятельность 7 торговых центров. Всего на данных объектах имеется 3140 торговых мест</w:t>
      </w:r>
      <w:r>
        <w:rPr>
          <w:rFonts w:ascii="Times New Roman" w:hAnsi="Times New Roman"/>
          <w:sz w:val="28"/>
          <w:szCs w:val="28"/>
        </w:rPr>
        <w:t>.</w:t>
      </w:r>
    </w:p>
    <w:p w:rsidR="001A5A05" w:rsidRPr="0034729B" w:rsidRDefault="001A5A05" w:rsidP="00016C8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Сегменты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организации, отсутствуют.</w:t>
      </w:r>
    </w:p>
    <w:p w:rsidR="001A5A05" w:rsidRDefault="001A5A05" w:rsidP="00016C8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Рынок услуг розничной торговли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города 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характеризуется как высококонкурентный с низким уровнем концентрации.</w:t>
      </w:r>
    </w:p>
    <w:p w:rsidR="001A5A05" w:rsidRDefault="001A5A05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социологического опроса жителей по вопросу удовлетворенности развития отрасли розничная торговля на территории муниципального образования город Новороссийск, опрошено 2264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респондента, из них ответили: 151 (7 %) – «мало»; 1283 (57 %) – «достаточно»; 830 (37 %) – «избыточно».</w:t>
      </w:r>
    </w:p>
    <w:p w:rsidR="001A5A05" w:rsidRDefault="001A5A05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05" w:rsidRPr="00016C8B" w:rsidRDefault="001A5A05" w:rsidP="00016C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8B">
        <w:rPr>
          <w:rFonts w:ascii="Times New Roman" w:hAnsi="Times New Roman" w:cs="Times New Roman"/>
          <w:b/>
          <w:sz w:val="28"/>
          <w:szCs w:val="28"/>
        </w:rPr>
        <w:t>Удовлетворенность жителей отраслью розничная торговля</w:t>
      </w:r>
    </w:p>
    <w:p w:rsidR="001A5A05" w:rsidRDefault="001A5A05" w:rsidP="00016C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6C8B">
        <w:rPr>
          <w:rFonts w:ascii="Times New Roman" w:hAnsi="Times New Roman" w:cs="Times New Roman"/>
          <w:b/>
          <w:sz w:val="28"/>
          <w:szCs w:val="28"/>
        </w:rPr>
        <w:t>(опрос проведен среди 2264 респондентов):</w:t>
      </w:r>
    </w:p>
    <w:p w:rsidR="001A5A05" w:rsidRDefault="001A5A05" w:rsidP="00016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A05" w:rsidRDefault="001A5A05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9622" cy="1937982"/>
            <wp:effectExtent l="19050" t="0" r="23978" b="5118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Основными проблемами в сфере развития розничного рынка являются: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недостаток собственных оборотных средств и низкий уровень предложений в сфере кредитования на долгосрочный период;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высокие ставки по кредитам;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высокие ставки арендной платы;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- недостаток квалифицированных кадров в отрасли; 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снижение 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уровня покупательской способности;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в сфере оптовой торговли сохраняется многозвенность товародвижения, наличие большого количества посреднических структур;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- одной из главных социальных проблем развития потребительского рынка в </w:t>
      </w:r>
      <w:r>
        <w:rPr>
          <w:rFonts w:ascii="Times New Roman" w:hAnsi="Times New Roman"/>
          <w:spacing w:val="-6"/>
          <w:kern w:val="16"/>
          <w:sz w:val="28"/>
          <w:szCs w:val="28"/>
        </w:rPr>
        <w:t>городе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 является обеспечение ценовой доступности товаров и услуг для социально незащищенных групп населения;</w:t>
      </w:r>
    </w:p>
    <w:p w:rsidR="001A5A05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отсутствие единой системы информационного обеспечения в сфере потребительского рынка.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торговли, общественного питания, бытового обслуживания.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Исходя из сложившейся проблематики отрасли, </w:t>
      </w:r>
      <w:r>
        <w:rPr>
          <w:rFonts w:ascii="Times New Roman" w:hAnsi="Times New Roman"/>
          <w:spacing w:val="-6"/>
          <w:kern w:val="16"/>
          <w:sz w:val="28"/>
          <w:szCs w:val="28"/>
        </w:rPr>
        <w:t>администрация города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 определил</w:t>
      </w:r>
      <w:r>
        <w:rPr>
          <w:rFonts w:ascii="Times New Roman" w:hAnsi="Times New Roman"/>
          <w:spacing w:val="-6"/>
          <w:kern w:val="16"/>
          <w:sz w:val="28"/>
          <w:szCs w:val="28"/>
        </w:rPr>
        <w:t>а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 основные задачи развития отрасли (применительно к рассматриваемой области): 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создание правовых условий, направленных на повышение социально-экономической эффективности функционирования потребительского рынка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в рамках своей компетенции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создание условий для прогрессивных структурных сдвигов: развитие сетевой торговли, строительство многофункциональных объектов (торгово-развлекательных центров с оказанием бытовых и услуг общественного питания), открытие магазинов "шаговой доступности", увеличение количества объектов придорожного сервиса и других;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повышение территориальной и ценовой доступности сферы торговли и услуг для населения;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 xml:space="preserve">- стимулирование развития торговли в отдаленных населенных пунктах </w:t>
      </w:r>
      <w:r>
        <w:rPr>
          <w:rFonts w:ascii="Times New Roman" w:hAnsi="Times New Roman"/>
          <w:spacing w:val="-6"/>
          <w:kern w:val="16"/>
          <w:sz w:val="28"/>
          <w:szCs w:val="28"/>
        </w:rPr>
        <w:t>муниципального образования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развитие материально-технической базы оптовой торговли путем содействия в создании и функционировании логистических центров поставок;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создание благоприятных условий для достижения необходимого уровня конкуренции;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поддержка малого и среднего предпринимательства;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- обеспечение качества и безопасности поступающих и реализуемых на территории </w:t>
      </w:r>
      <w:r>
        <w:rPr>
          <w:rFonts w:ascii="Times New Roman" w:hAnsi="Times New Roman"/>
          <w:spacing w:val="-6"/>
          <w:kern w:val="16"/>
          <w:sz w:val="28"/>
          <w:szCs w:val="28"/>
        </w:rPr>
        <w:t>города</w:t>
      </w: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 xml:space="preserve"> товаров и оказываемых услуг;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снижение кадрового дефицита в сфере потребительского рынка, повышение уровня профессиональной подготовки;</w:t>
      </w:r>
    </w:p>
    <w:p w:rsidR="001A5A05" w:rsidRPr="0034729B" w:rsidRDefault="001A5A05" w:rsidP="00016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4729B">
        <w:rPr>
          <w:rFonts w:ascii="Times New Roman" w:hAnsi="Times New Roman"/>
          <w:spacing w:val="-6"/>
          <w:kern w:val="16"/>
          <w:sz w:val="28"/>
          <w:szCs w:val="28"/>
        </w:rPr>
        <w:t>- создание системы государственного информационного обеспечения в области потребительского рынка.</w:t>
      </w:r>
    </w:p>
    <w:p w:rsidR="00ED607B" w:rsidRPr="001944CC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7118B3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2.3.9. Р</w:t>
      </w:r>
      <w:r w:rsidR="00ED607B" w:rsidRPr="007118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перевозок пассажиров наземным транспортом.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18B3" w:rsidRPr="00914252" w:rsidRDefault="007118B3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6"/>
          <w:sz w:val="28"/>
          <w:szCs w:val="28"/>
        </w:rPr>
      </w:pPr>
      <w:r w:rsidRPr="00914252">
        <w:rPr>
          <w:rFonts w:ascii="Times New Roman" w:hAnsi="Times New Roman" w:cs="Times New Roman"/>
          <w:spacing w:val="-6"/>
          <w:kern w:val="16"/>
          <w:sz w:val="28"/>
          <w:szCs w:val="28"/>
        </w:rPr>
        <w:t>Рынок услуг перевозок пассажирским транспортом по городским и пригородным маршрутам в городе Новороссийске сформирован с учетом сложившейся маршрутной сети и существующего спроса населения на эти услуги.</w:t>
      </w:r>
      <w:r w:rsidRPr="00914252">
        <w:rPr>
          <w:rFonts w:ascii="Times New Roman" w:hAnsi="Times New Roman" w:cs="Times New Roman"/>
          <w:bCs/>
          <w:sz w:val="28"/>
          <w:szCs w:val="28"/>
        </w:rPr>
        <w:t xml:space="preserve"> Существующая маршрутная сеть муниципального образования города Новороссийска включает в себя </w:t>
      </w:r>
      <w:r w:rsidRPr="00914252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914252">
        <w:rPr>
          <w:rFonts w:ascii="Times New Roman" w:hAnsi="Times New Roman" w:cs="Times New Roman"/>
          <w:bCs/>
          <w:sz w:val="28"/>
          <w:szCs w:val="28"/>
        </w:rPr>
        <w:t xml:space="preserve"> городских, </w:t>
      </w:r>
      <w:r w:rsidRPr="009142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14252">
        <w:rPr>
          <w:rFonts w:ascii="Times New Roman" w:hAnsi="Times New Roman" w:cs="Times New Roman"/>
          <w:bCs/>
          <w:sz w:val="28"/>
          <w:szCs w:val="28"/>
        </w:rPr>
        <w:t xml:space="preserve"> пригородных автобусных маршрутов регулярного сообщения и </w:t>
      </w:r>
      <w:r w:rsidRPr="0091425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1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252">
        <w:rPr>
          <w:rFonts w:ascii="Times New Roman" w:hAnsi="Times New Roman" w:cs="Times New Roman"/>
          <w:sz w:val="28"/>
          <w:szCs w:val="28"/>
        </w:rPr>
        <w:t>троллейбусных маршрутов</w:t>
      </w:r>
      <w:r w:rsidRPr="00914252">
        <w:rPr>
          <w:rFonts w:ascii="Times New Roman" w:hAnsi="Times New Roman" w:cs="Times New Roman"/>
          <w:bCs/>
          <w:sz w:val="28"/>
          <w:szCs w:val="28"/>
        </w:rPr>
        <w:t>.</w:t>
      </w:r>
      <w:r w:rsidRPr="00914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18B3" w:rsidRPr="00914252" w:rsidRDefault="007118B3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52">
        <w:rPr>
          <w:rFonts w:ascii="Times New Roman" w:eastAsia="Calibri" w:hAnsi="Times New Roman" w:cs="Times New Roman"/>
          <w:sz w:val="28"/>
          <w:szCs w:val="28"/>
        </w:rPr>
        <w:t>7 транспортных компаний осуществляют работу по выпуску транспорта категории М2 и М3:  ООО «Автолайн», ОАО «Троллейбус Новороссийска»,   ООО «Автокомтранс», ООО «ЮгСервис», ООО «Новороссийское Транспортное Предприятие», ООО «НовоТранс» ООО «Автохолдинг», В них обслуживается 294 индивидуальных предпринимателя и 7 юридических лиц. Общее количество транспортных средств 655.</w:t>
      </w:r>
    </w:p>
    <w:p w:rsidR="007118B3" w:rsidRPr="00914252" w:rsidRDefault="007118B3" w:rsidP="00016C8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kern w:val="16"/>
          <w:sz w:val="28"/>
          <w:szCs w:val="28"/>
        </w:rPr>
      </w:pPr>
      <w:r w:rsidRPr="00914252">
        <w:rPr>
          <w:rFonts w:ascii="Times New Roman" w:hAnsi="Times New Roman" w:cs="Times New Roman"/>
          <w:spacing w:val="-6"/>
          <w:kern w:val="16"/>
          <w:sz w:val="28"/>
          <w:szCs w:val="28"/>
        </w:rPr>
        <w:t>В соответствии с действующим краевым законодательством, привлечение юридических лиц и индивидуальных предпринимателей, имеющих лицензию на осуществление перевозок пассажиров, к обслуживанию регулярных пассажирских перевозок по маршрутам городского и пригородного сообщения, осуществляется по итогам конкурса.</w:t>
      </w:r>
    </w:p>
    <w:p w:rsidR="007118B3" w:rsidRPr="00914252" w:rsidRDefault="007118B3" w:rsidP="00016C8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kern w:val="16"/>
          <w:sz w:val="28"/>
          <w:szCs w:val="28"/>
        </w:rPr>
      </w:pPr>
      <w:r w:rsidRPr="00914252">
        <w:rPr>
          <w:rFonts w:ascii="Times New Roman" w:hAnsi="Times New Roman" w:cs="Times New Roman"/>
          <w:spacing w:val="-6"/>
          <w:kern w:val="16"/>
          <w:sz w:val="28"/>
          <w:szCs w:val="28"/>
        </w:rPr>
        <w:t>Проведение конкурса даёт возможность определить наиболее достойных перевозчиков, обеспечить безопасность и достаточный уровень качества транспортного обслуживания населения на маршрутах.</w:t>
      </w:r>
    </w:p>
    <w:p w:rsidR="007118B3" w:rsidRPr="00914252" w:rsidRDefault="007118B3" w:rsidP="00016C8B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kern w:val="16"/>
          <w:sz w:val="28"/>
          <w:szCs w:val="28"/>
        </w:rPr>
      </w:pPr>
      <w:r w:rsidRPr="00914252">
        <w:rPr>
          <w:rFonts w:ascii="Times New Roman" w:hAnsi="Times New Roman" w:cs="Times New Roman"/>
          <w:spacing w:val="-6"/>
          <w:kern w:val="16"/>
          <w:sz w:val="28"/>
          <w:szCs w:val="28"/>
        </w:rPr>
        <w:t xml:space="preserve">По итогам конкурсного отбора, на маршруте может работать только победитель открытого конкурса. Конкурентное соперничество перевозчиков возможно на этапе подготовки и проведения конкурса, когда его участники на равноправных условиях могут предъявлять лучшие предложения для выполнения перевозок на маршруте, с целью получения высокого балла и достижения победы в конкурсе. </w:t>
      </w:r>
    </w:p>
    <w:p w:rsidR="007118B3" w:rsidRPr="00914252" w:rsidRDefault="007118B3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kern w:val="16"/>
          <w:sz w:val="28"/>
          <w:szCs w:val="28"/>
        </w:rPr>
      </w:pPr>
      <w:r w:rsidRPr="00914252">
        <w:rPr>
          <w:rFonts w:ascii="Times New Roman" w:hAnsi="Times New Roman" w:cs="Times New Roman"/>
          <w:spacing w:val="-6"/>
          <w:kern w:val="16"/>
          <w:sz w:val="28"/>
          <w:szCs w:val="28"/>
        </w:rPr>
        <w:lastRenderedPageBreak/>
        <w:t xml:space="preserve">Главной целью в развитии конкуренции на рынке услуг перевозок является стимулирование повышения качества услуг, предоставляемых перевозчиками населению края. </w:t>
      </w:r>
    </w:p>
    <w:p w:rsidR="007118B3" w:rsidRPr="00914252" w:rsidRDefault="007118B3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52">
        <w:rPr>
          <w:rFonts w:ascii="Times New Roman" w:eastAsia="Calibri" w:hAnsi="Times New Roman" w:cs="Times New Roman"/>
          <w:sz w:val="28"/>
          <w:szCs w:val="28"/>
        </w:rPr>
        <w:t>Все населенные пункты расположенные в границах муниципального образования город Новороссийск обеспечены транспортным сообщением с административным центром.</w:t>
      </w:r>
    </w:p>
    <w:p w:rsidR="007118B3" w:rsidRPr="00914252" w:rsidRDefault="007118B3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4252">
        <w:rPr>
          <w:rFonts w:ascii="Times New Roman" w:hAnsi="Times New Roman" w:cs="Times New Roman"/>
          <w:sz w:val="28"/>
          <w:szCs w:val="28"/>
        </w:rPr>
        <w:t>Проведенный социологический опрос на территории города Новороссийска на тему: «Какое количество организаций предоставляют услуги перевозки пассажиров наземным транспортом  как "Достаточное"– 57,9%. "Избыточное" количество отметили 31,4% респондентов, 9,76% - респондентов отметили "Малое" количество, «Совсем отсутствует» -1,06%.</w:t>
      </w:r>
    </w:p>
    <w:p w:rsidR="007118B3" w:rsidRPr="00914252" w:rsidRDefault="007118B3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550" cy="1828800"/>
            <wp:effectExtent l="0" t="0" r="0" b="0"/>
            <wp:docPr id="5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118B3" w:rsidRPr="00914252" w:rsidRDefault="007118B3" w:rsidP="00016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252">
        <w:rPr>
          <w:rFonts w:ascii="Times New Roman" w:hAnsi="Times New Roman" w:cs="Times New Roman"/>
          <w:sz w:val="28"/>
          <w:szCs w:val="28"/>
        </w:rPr>
        <w:t>Удовлетворенность Рынком услуг перевозок пассажиров наземным транспортом, респонденты оценили следующим образом – 74,3% респондентов указали «скорее удовлетворены», 15,9% – «удовлетворены», 6,8% – «не удовлетворены», и 3,09% - «скорее не удовлетворены».</w:t>
      </w:r>
    </w:p>
    <w:p w:rsidR="007118B3" w:rsidRPr="00914252" w:rsidRDefault="007118B3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B3" w:rsidRPr="00914252" w:rsidRDefault="007118B3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100" cy="1828800"/>
            <wp:effectExtent l="0" t="0" r="0" b="0"/>
            <wp:docPr id="5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118B3" w:rsidRPr="00914252" w:rsidRDefault="007118B3" w:rsidP="00016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252">
        <w:rPr>
          <w:rFonts w:ascii="Times New Roman" w:hAnsi="Times New Roman" w:cs="Times New Roman"/>
          <w:sz w:val="28"/>
          <w:szCs w:val="28"/>
        </w:rPr>
        <w:t>Для улучшения качества обслуживания пассажиров, в 2017 году запланировано приобретение 10 низкопольных автобусов большой вместимости, а также оснащение всего общественного транспорта электронной системой оплаты проезда</w:t>
      </w:r>
    </w:p>
    <w:p w:rsidR="00ED607B" w:rsidRPr="001944CC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07B" w:rsidRPr="007118B3" w:rsidRDefault="00227496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2.3.10. Р</w:t>
      </w:r>
      <w:r w:rsidR="00ED607B" w:rsidRPr="007118B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связи.</w:t>
      </w:r>
    </w:p>
    <w:p w:rsidR="00ED607B" w:rsidRDefault="00ED607B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18B3" w:rsidRPr="007118B3" w:rsidRDefault="007118B3" w:rsidP="00016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 Новороссийск осуществляют деятельность в области предоставления услуг сотовой и стационарной связи, услуг доступа к сети Интернет следующие хозяйствующие субъекты: ПАО «Ростелеком» (43,3%), ООО «Спринт» (24,9%), ПАО «МТС» (14,4%), ЗАО </w:t>
      </w:r>
      <w:r w:rsidRPr="00711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«ТТК»-9,7%, ПАО «Вымпелком», ПАО «Мегафон», ООО «Т2Мобайл» и др.-7,7%.</w:t>
      </w:r>
    </w:p>
    <w:p w:rsidR="007118B3" w:rsidRPr="007118B3" w:rsidRDefault="007118B3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B3" w:rsidRPr="007118B3" w:rsidRDefault="007118B3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746250"/>
            <wp:effectExtent l="0" t="0" r="0" b="0"/>
            <wp:docPr id="5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118B3" w:rsidRPr="007118B3" w:rsidRDefault="007118B3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Arial"/>
          <w:spacing w:val="-6"/>
          <w:kern w:val="16"/>
          <w:sz w:val="28"/>
          <w:szCs w:val="28"/>
          <w:lang w:eastAsia="ru-RU"/>
        </w:rPr>
      </w:pPr>
      <w:r w:rsidRPr="007118B3">
        <w:rPr>
          <w:rFonts w:ascii="Times New Roman" w:eastAsia="Malgun Gothic" w:hAnsi="Times New Roman" w:cs="Arial"/>
          <w:spacing w:val="-6"/>
          <w:kern w:val="16"/>
          <w:sz w:val="28"/>
          <w:szCs w:val="28"/>
          <w:lang w:eastAsia="ru-RU"/>
        </w:rPr>
        <w:t>По данным опроса населения города о качестве предоставляемых услуг сотовой связи, в котором приняли участие 2264 респондента от 21 до 50 лет, 57,2 % опрошенных респондентов считают количество хозяйствующих субъектов в области связи достаточным, 34,1% - избыточным, 7,7% считают, что количество субъектов не достаточно, и 1% что данных субъектов нет совсем. При этом, 79,1% респондентов удовлетворены качеством услуг связи, 13,82% ответили, что скорее удовлетворены, 5,25% -скорее не удовлетворены, 1,98%- не удовлетворены. При этом наиболее низкую оценку качество сотовой связи получил район 13-е Ущелье, 16 мкр-н, а наиболее высокую – 14,15 микрорайон. Такие показатели обусловлены рельефной особенностью района 13-Ущелье и отсутствие новых базовых станций в строящихся микрорайонах.</w:t>
      </w:r>
    </w:p>
    <w:p w:rsidR="007118B3" w:rsidRPr="007118B3" w:rsidRDefault="007118B3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B3" w:rsidRPr="007118B3" w:rsidRDefault="007118B3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743200" cy="1828800"/>
            <wp:effectExtent l="0" t="0" r="0" b="0"/>
            <wp:wrapSquare wrapText="right"/>
            <wp:docPr id="58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Pr="00711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700" cy="1847850"/>
            <wp:effectExtent l="0" t="0" r="0" b="0"/>
            <wp:docPr id="5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118B3" w:rsidRPr="007118B3" w:rsidRDefault="007118B3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операторов связи, учитывая насыщенность рынка, на первое место выходят задачи по улучшению качества и продаже дополнительных услуг. В первую очередь это мобильный высокоскоростной Интернет и связанные с ним информационные ресурсы и приложения, внедрение технологии интерактивного, цифрового и спутникового  телевидения. </w:t>
      </w:r>
      <w:r w:rsidRPr="00711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пользователей предпочитает выбирать оператора связи по рациональным критериям, которые в принципе для всех одинаковы, хотя и имеют различный приоритет для каждого в зависимости от потребностей и образа жизни.</w:t>
      </w:r>
    </w:p>
    <w:p w:rsidR="007118B3" w:rsidRPr="007118B3" w:rsidRDefault="007118B3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объему платных услуг, предоставляемых населению города среди крупных и средних предприятий, численностью свыше 15 человек, предприятия связи составляют 3402,6 млн. руб. за 2015 год и 3504,6 млн.руб. за 2016 год, прирост составляет 103%.</w:t>
      </w:r>
    </w:p>
    <w:p w:rsidR="007118B3" w:rsidRPr="007118B3" w:rsidRDefault="007118B3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социологических опросов, большинство жителей в целом удовлетворены качеством предоставляемых услуг операторов связи. </w:t>
      </w:r>
    </w:p>
    <w:p w:rsidR="007118B3" w:rsidRPr="007118B3" w:rsidRDefault="007118B3" w:rsidP="0001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планах у операторов связи развитие сети в новых строящихся микрорайонах и сельских населенных пунктах, путем строительства базовых станций.</w:t>
      </w:r>
    </w:p>
    <w:p w:rsidR="007118B3" w:rsidRPr="007118B3" w:rsidRDefault="007118B3" w:rsidP="00016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6"/>
          <w:kern w:val="16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услуг почтовой связи осуществляет ФГУП «Почта России». Всего в муниципальном образовании 37 почтовых отделений.</w:t>
      </w:r>
      <w:r w:rsidRPr="007118B3">
        <w:rPr>
          <w:rFonts w:ascii="Times New Roman" w:eastAsia="Times New Roman" w:hAnsi="Times New Roman" w:cs="Arial"/>
          <w:spacing w:val="-6"/>
          <w:kern w:val="16"/>
          <w:sz w:val="28"/>
          <w:szCs w:val="28"/>
          <w:lang w:eastAsia="ru-RU"/>
        </w:rPr>
        <w:t xml:space="preserve"> Монополия ФГУП "Почта России" на рынке РФ в целом, значительно влияет на качество предоставляемых услуг. По данным опроса респондентов  65% опрошенных оценили качество как "среднее", 12% </w:t>
      </w:r>
      <w:r w:rsidRPr="007118B3">
        <w:rPr>
          <w:rFonts w:ascii="Times New Roman" w:eastAsia="Malgun Gothic" w:hAnsi="Times New Roman" w:cs="Arial"/>
          <w:spacing w:val="-6"/>
          <w:kern w:val="16"/>
          <w:sz w:val="28"/>
          <w:szCs w:val="28"/>
          <w:lang w:eastAsia="ru-RU"/>
        </w:rPr>
        <w:t xml:space="preserve">– </w:t>
      </w:r>
      <w:r w:rsidRPr="007118B3">
        <w:rPr>
          <w:rFonts w:ascii="Times New Roman" w:eastAsia="Times New Roman" w:hAnsi="Times New Roman" w:cs="Arial"/>
          <w:spacing w:val="-6"/>
          <w:kern w:val="16"/>
          <w:sz w:val="28"/>
          <w:szCs w:val="28"/>
          <w:lang w:eastAsia="ru-RU"/>
        </w:rPr>
        <w:t xml:space="preserve">как "высокое", 22% </w:t>
      </w:r>
      <w:r w:rsidRPr="007118B3">
        <w:rPr>
          <w:rFonts w:ascii="Times New Roman" w:eastAsia="Malgun Gothic" w:hAnsi="Times New Roman" w:cs="Arial"/>
          <w:spacing w:val="-6"/>
          <w:kern w:val="16"/>
          <w:sz w:val="28"/>
          <w:szCs w:val="28"/>
          <w:lang w:eastAsia="ru-RU"/>
        </w:rPr>
        <w:t xml:space="preserve">– </w:t>
      </w:r>
      <w:r w:rsidRPr="007118B3">
        <w:rPr>
          <w:rFonts w:ascii="Times New Roman" w:eastAsia="Times New Roman" w:hAnsi="Times New Roman" w:cs="Arial"/>
          <w:spacing w:val="-6"/>
          <w:kern w:val="16"/>
          <w:sz w:val="28"/>
          <w:szCs w:val="28"/>
          <w:lang w:eastAsia="ru-RU"/>
        </w:rPr>
        <w:t xml:space="preserve">как "низкое", и 1% респондентов отметили, что данным видом связи либо не пользуются. </w:t>
      </w:r>
    </w:p>
    <w:p w:rsidR="00ED607B" w:rsidRDefault="007118B3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1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улучшения оказания услуг связи в почтовых отделениях, в планах ФГУП «Почта России» открытие дополнительных почтовых отделений в городе, а также открытие «Отделений будущего».</w:t>
      </w:r>
    </w:p>
    <w:p w:rsidR="007118B3" w:rsidRPr="001944CC" w:rsidRDefault="007118B3" w:rsidP="00016C8B">
      <w:pPr>
        <w:shd w:val="clear" w:color="auto" w:fill="FFFFFF"/>
        <w:tabs>
          <w:tab w:val="left" w:pos="993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6C8B" w:rsidRDefault="00227496" w:rsidP="00016C8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61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2.3.11. Р</w:t>
      </w:r>
      <w:r w:rsidR="00ED607B" w:rsidRPr="00C661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ынок услуг социального обслуживания населения.</w:t>
      </w:r>
    </w:p>
    <w:p w:rsidR="00016C8B" w:rsidRDefault="00016C8B" w:rsidP="00016C8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61FB" w:rsidRPr="000B6467" w:rsidRDefault="00C661FB" w:rsidP="00016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B6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состоянию на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0B6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.02.201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0B6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 в городе Новороссийске  функционируют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B6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 государственных учреждений социального обслуживания, из них 2 государственных учреждения по социальному обслуживанию пожилых граждан и инвалидов и 3 учреждения по социальному обслуживанию семьи и детей.</w:t>
      </w:r>
    </w:p>
    <w:p w:rsidR="00C661FB" w:rsidRDefault="00C661F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B64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Данные учреждения  осуществляют свою деятельность в рамках государственного задания и являются монополистами в этой сфере услуг на территории муниципального образования город Новороссийск.</w:t>
      </w:r>
    </w:p>
    <w:p w:rsidR="004F6CEB" w:rsidRDefault="004F6CE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F6CEB" w:rsidRDefault="004F6CEB" w:rsidP="00016C8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27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0927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92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27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Определение перечня приоритетных рынков для  муниципального образования, их характеристика.</w:t>
      </w:r>
    </w:p>
    <w:p w:rsidR="004F6CEB" w:rsidRDefault="004F6CEB" w:rsidP="00016C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F6CEB" w:rsidRDefault="004F6CE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Учитывая результаты проведнного анкетирования, а также н</w:t>
      </w:r>
      <w:r w:rsidRPr="00390E6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анализа соответствия показателей, характеризующих положение на рынке товаров и услуг в муниципальном образовании, целевым показателям, утвержденным в приложении №1 к «Стандарту развития конкуренции в субъектах Российской Федерации» (ИШ-П13-2189), к приоритетным и социально значимым рынкам для муниципального образования город Новороссийск могут быть отнесены:</w:t>
      </w:r>
      <w:r w:rsidRPr="0009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CEB" w:rsidRDefault="004F6CE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рынок услуг жилищно-коммунального хозяйства (значительная доля участников анкетирования считает неудовлетворительным качество предоставляемых услуг).</w:t>
      </w:r>
    </w:p>
    <w:p w:rsidR="004F6CEB" w:rsidRDefault="004F6CE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рынок услуг дошкольного образования (значительная доля участников анкетирования (21,0%) считает недостаточным имеющееся количество дошкольных образовательных организаций. Имеется очередь для детей от 1,5 до 3 лет. Не достигнут уровень среднекраевого показателя доли негосударственных дошкольных образовательных организаций).</w:t>
      </w:r>
    </w:p>
    <w:p w:rsidR="004F6CEB" w:rsidRDefault="004F6CE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рынок медицинских услуг (Значительная доля участников анкетирования (23,9 %) считает недостаточным имеющееся количество медицинских учреждений. Не достигнут показатель доли негосударственных учреждений здравоохранения, участвующих в реализации территориальных программ обязательного медицинского страхования).</w:t>
      </w:r>
    </w:p>
    <w:p w:rsidR="004F6CEB" w:rsidRDefault="004F6CEB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24168" w:rsidRDefault="00C24168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CEB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4F6CE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ведомственного плана по содействию развитию конкуренции и развитию конкурентной среды в муниципальном образовании</w:t>
      </w:r>
    </w:p>
    <w:p w:rsidR="00504507" w:rsidRPr="004F6CEB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CEB" w:rsidRDefault="000F4D60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 Новороссийск </w:t>
      </w:r>
      <w:r w:rsidR="004F6CEB" w:rsidRPr="005C7026">
        <w:rPr>
          <w:rFonts w:ascii="Times New Roman" w:hAnsi="Times New Roman" w:cs="Times New Roman"/>
          <w:sz w:val="28"/>
          <w:szCs w:val="28"/>
        </w:rPr>
        <w:t>Разработан и утвержден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</w:t>
      </w:r>
      <w:r w:rsidR="004F6CEB" w:rsidRPr="005C7026">
        <w:rPr>
          <w:rFonts w:ascii="Times New Roman" w:hAnsi="Times New Roman" w:cs="Times New Roman"/>
          <w:sz w:val="28"/>
          <w:szCs w:val="28"/>
        </w:rPr>
        <w:t xml:space="preserve"> мероприятий «дорожной карты» по содействию развитию конкуренции и по развитию конкурентной среды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31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6CEB" w:rsidRPr="005C7026">
        <w:rPr>
          <w:rFonts w:ascii="Times New Roman" w:hAnsi="Times New Roman" w:cs="Times New Roman"/>
          <w:sz w:val="28"/>
          <w:szCs w:val="28"/>
        </w:rPr>
        <w:t>.</w:t>
      </w:r>
    </w:p>
    <w:p w:rsidR="000F4D60" w:rsidRPr="005C7026" w:rsidRDefault="000F4D60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2016 год</w:t>
      </w:r>
      <w:r w:rsidR="00331B09">
        <w:rPr>
          <w:rFonts w:ascii="Times New Roman" w:hAnsi="Times New Roman" w:cs="Times New Roman"/>
          <w:sz w:val="28"/>
          <w:szCs w:val="28"/>
        </w:rPr>
        <w:t xml:space="preserve"> из 12 утвержденных целевых показателей обеспечено выполнение 11.</w:t>
      </w:r>
      <w:r w:rsidR="00331B09" w:rsidRPr="00331B09">
        <w:rPr>
          <w:rFonts w:ascii="Times New Roman" w:hAnsi="Times New Roman" w:cs="Times New Roman"/>
          <w:sz w:val="28"/>
          <w:szCs w:val="28"/>
        </w:rPr>
        <w:t xml:space="preserve"> </w:t>
      </w:r>
      <w:r w:rsidR="00331B09">
        <w:rPr>
          <w:rFonts w:ascii="Times New Roman" w:hAnsi="Times New Roman" w:cs="Times New Roman"/>
          <w:sz w:val="28"/>
          <w:szCs w:val="28"/>
        </w:rPr>
        <w:t>Не обеспечено достижение 1 показателя по пункту 3.1.2. Плана (Число участников конкурентных процедур определения поставщика (подрядчика, исполнителя) для обеспечения муниципальных нужд в соотношении составляет 2,0 на 1 закупку, при планируемом целевом показателе 2016 года – 3).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  <w:u w:val="single"/>
        </w:rPr>
        <w:t>По п. 1.9.1. Плана мероприятий.</w:t>
      </w:r>
      <w:r w:rsidRPr="005C702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образования город Новороссийск от 25.04.2013 г. № 2782, на территории муниципального образования город Новороссийск организованы ярмарки по 11 адресам, из них на территории города по 4 адресам: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ул. Козлова - 67 торговых мест, фактическое количество участников- 67, заполняемость 100%;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ул. Малоземельская, 4-6 – 56 торговых мест фактическое количество участников- 56, заполняемость 100%;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ул. Васенко, 26-28 – 37 торговых мест, фактическое количество участников- 37, заполняемость 100%;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ул. Леднева – 95 торговых мест, фактическое количество участников – 85, заполняемость 90 %.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 На территории Новороссийского внутригородского района – в каждом сельском округе по 7 адресам: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с. Глебовское, ул. К.Маркса;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ст. Натухаевская, ул. Фрунзе;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с. Мысхако, ул. Центральная (район ДК);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п. Верхнебаканский, ул. 40 лет Октября;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с. Гайдук, ул. Новороссийское шоссе, 9б;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ст. Раевская, ул. Героев / ул. Котова;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с. Абрау-Дюрсо, ул. Поромышленная, 5.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На всех ярмарках имеется информационные щиты, на которых размещены рекомендуемые цены на продукты, реализуемые на ярмарках, режим работы ярмарки и телефоны по которым можно обратиться при </w:t>
      </w:r>
      <w:r w:rsidRPr="005C7026">
        <w:rPr>
          <w:rFonts w:ascii="Times New Roman" w:hAnsi="Times New Roman" w:cs="Times New Roman"/>
          <w:sz w:val="28"/>
          <w:szCs w:val="28"/>
        </w:rPr>
        <w:lastRenderedPageBreak/>
        <w:t>выявлении нарушений. Рекомендуемые цены формируются с учетом рекомендованных цен  департамента цен и тарифов Краснодарского края, а также посредством мониторинга цен на рынке. Цены на ярмарках ниже рыночных.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Участники ярмарки –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биопродуктов. Участники ярмарочной торговли: производителей продукции 279, посредников при реализации свежего мяса - 2, колбасных изделий – 6, молочной продукции – 4, бакалеи - 3. Доля продовольственных товаров составляет 9,4%, сельскохозяйственной продукции- 90,6%.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В результате проводимой работы по итогам 12 месяцев 2016 года доля оборота розничной торговли, осуществляемой на розничных рынках и ярмарках в структуре оборота розничной торговли составляет 16,3 % при плановом целевом показателе на 2016 год – 16 %.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Количество организованных ярмарок за 12 месяцев 2016 года – 1428 ярмарок.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  <w:u w:val="single"/>
        </w:rPr>
        <w:t>По п. 1.9.3. Плана мероприятий.</w:t>
      </w:r>
      <w:r w:rsidRPr="005C7026">
        <w:rPr>
          <w:rFonts w:ascii="Times New Roman" w:hAnsi="Times New Roman" w:cs="Times New Roman"/>
          <w:sz w:val="28"/>
          <w:szCs w:val="28"/>
        </w:rPr>
        <w:t xml:space="preserve">    В целях развития мелкорозничной торговли и создания условий здоровой конкуренции в 2016 году размещено по 278 адресам размещено 293 нестационарных торговых объекта (на 20 %  или на 55 адресов больше, чем в 2015 году), из них: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торговые точки по реализации кваса – по 58 адресам (добавлены 4 адреса);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холодильная витрина по реализации безалкогольных напитков – по 27 адресам;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торговые точки по реализации мороженого и напитков – по 44 адресам (добавлены 11адресов);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торговые точки по реализации бахчёвых культур – по 35 адресам (добавлены 9 адресов);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торговые точки по реализации сувенирной продукции – по 17 адресам (добавлены 3 адреса);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торговые точки по реализации овощей и фруктов – по 32 адресам (добавлены 8 адресов);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торговые точки по реализации экскурсионных услуг  - по 14 адресам (добавлены 3 адреса);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точки по предоставлению услуг проката – по 7 адресам (добавлены с 2016 года);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- точки по реализации газет и книгопечатной продукции – по 31 адресу (добавлены 5 адресов);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- точки по предоставлению услуг аттракционов – по 13 адресам (добавлены 5 адресов).      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По итогам 12 месяцев 2016 года доля оборота магазинов шаговой доступности (магазинов у дома) в структуре оборота розничной торговли </w:t>
      </w:r>
      <w:r w:rsidRPr="005C7026">
        <w:rPr>
          <w:rFonts w:ascii="Times New Roman" w:hAnsi="Times New Roman" w:cs="Times New Roman"/>
          <w:sz w:val="28"/>
          <w:szCs w:val="28"/>
        </w:rPr>
        <w:lastRenderedPageBreak/>
        <w:t>оценивается в 20 %, что соответствует планируемому целевому показателю 2016 года.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Количество обьектов мелкорозничной торговли по итогам 2016 года ожидается 294 единицы, при плановом целевом показателе 292.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  <w:u w:val="single"/>
        </w:rPr>
        <w:t>По п. 2.1.2. Плана мероприятий.</w:t>
      </w:r>
      <w:r w:rsidR="00BE41E2" w:rsidRPr="00BE41E2">
        <w:rPr>
          <w:rFonts w:ascii="Times New Roman" w:hAnsi="Times New Roman" w:cs="Times New Roman"/>
          <w:sz w:val="28"/>
          <w:szCs w:val="28"/>
        </w:rPr>
        <w:t xml:space="preserve"> </w:t>
      </w:r>
      <w:r w:rsidRPr="005C7026">
        <w:rPr>
          <w:rFonts w:ascii="Times New Roman" w:hAnsi="Times New Roman" w:cs="Times New Roman"/>
          <w:sz w:val="28"/>
          <w:szCs w:val="28"/>
        </w:rPr>
        <w:t>По программе «Развитие сельского хозяйства и регулирование рынков сельскохозяйственной продукции, сырья и продовольствия» утверждённой постановление главы администрации (губернатором) Краснодарского края от 5 октября 2015 г. впервые  прошел конкурсный отбор и удачно защитил бизнес-план, среди участников мероприятия по развитию семейных животноводческих ферм,  КФХ Чухрий М. В.  КФХ была доведена грантовая поддержка в сумме 7 070 400 рублей на развития дополнительного направления-кроликофермы,  данные денежные средства были освоены получателем в полном объемедо конца 2016 года.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Так же в 2016 году в рамках федеральной целевой программы «Устойчивое развитие сельских территорий на 2014-2017 г.г. и на период до 2020 года» получил свидетельство, о предоставлении социальной выплаты на строительство жилья в сельской местности, житель ст. Раевской  Акопян Н. Р. в сумме 1 964 761 руб., по состоянию на 31.12.2016г. выделенные денежные средства освоены в полном объеме, дом возведён и отделан.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Согласно  Постановление администрации муниципального образования город Новороссийск от 12.10.2016 г. № 8480 «Об утверждении порядка предоставления субсидий КФХ, ИП, ведущим деятельность в области сельскохозяйственного производства, и ЛПХ на поддержку сельскохозяйственного производства на территории муниципального образования город Новороссийск в 2016 году», в 2016 году,объем выделенных средств, в соответствии с Законом Краснодарского края  от 28.12.2015 г. № 3310- КЗ «О краевом бюджете на 2016  год»,  составил 6658100 рублей. Выделенные средства доведены до получателей, в количестве 5 человек.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По итогам 2016 годаколичество оказанных консультационных услуг составило 315 единиц, при плановом целевом показателе 2016 года  300 единиц.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  <w:u w:val="single"/>
        </w:rPr>
        <w:t>По п.п. 2.2.1. и 2.2.2. Плана мероприятий.</w:t>
      </w:r>
      <w:r w:rsidRPr="005C7026">
        <w:rPr>
          <w:rFonts w:ascii="Times New Roman" w:hAnsi="Times New Roman" w:cs="Times New Roman"/>
          <w:sz w:val="28"/>
          <w:szCs w:val="28"/>
        </w:rPr>
        <w:t xml:space="preserve">    В городе осуществляют деятельность 481 объект бытового обслуживания населения, из них 434 оказывают социально-значимые виды бытовых услуг стационарно, что составляет 90%.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 xml:space="preserve">Виды бытовых услуг можно разделить на три группы бытовых услуг: услуги, где наблюдается устойчивое развитие и существует высокий спрос населения (фотоуслуги, парикмахерские услуги, услуги прачечных и химчисток,услуги бань и саун, ремонт бытовой техники); услуги, где существуют перспективы экономического развития (клининговые услуги, ритуальные услуги. косметологические услуги; услуги, темпы развития которых не высоки, несмотря на спрос населения (ремонт часов, ремонт ювелирных изделий) По итогам 2016 года охвачено выездным </w:t>
      </w:r>
      <w:r w:rsidRPr="005C7026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обслуживанием 21 населенных пунктов, что составляет 100%. Отсутствие достаточного количества предприятий бытовых услуг объясняется тем, что основная часть населения работает в городе и соответственно им удобно основную долю услуг получать в городе. Также отрасли бытовых услуг не относятся к высокодоходным, поэтому организация деятельности в этой сфере зачастую бывает нерентабельна и не востребована.  </w:t>
      </w:r>
    </w:p>
    <w:p w:rsidR="004F6CEB" w:rsidRPr="005C7026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Общее количество зарегистрированных хозяйствующих субъектов на рынке бытовых услуг соответствует запланированному целевому показателю 2016 года и составляет 481 единицу.</w:t>
      </w:r>
    </w:p>
    <w:p w:rsidR="004F6CEB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6">
        <w:rPr>
          <w:rFonts w:ascii="Times New Roman" w:hAnsi="Times New Roman" w:cs="Times New Roman"/>
          <w:sz w:val="28"/>
          <w:szCs w:val="28"/>
        </w:rPr>
        <w:t>Уровень охвата населенных пунктов муниципального образования выездным обслуживанием в сфере бытовых услуг обеспечен на уровне 100%.</w:t>
      </w:r>
    </w:p>
    <w:p w:rsidR="004F6CEB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3.1.1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Плана мероприятий.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итогам 12 месяцев 2016 года доля закупок у субъектов малого предпринимательства (СМП) и социально ориенторованных некоммерческих организаций (СОНО) составляет 31%, что достигнуто путем рекомендации размещения закупок муниципальными заказчиками у СМП и СОНО на постоянной основе. Плановый целевой показатель 2016 года был определен в 18%.   </w:t>
      </w:r>
    </w:p>
    <w:p w:rsidR="004F6CEB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3.1.2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Плана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  Число участников конкурентных процедур определения поставщика (подрядчика, исполнителя) для обеспечения муниципальных нужд в соотношении составляет 2,0 на 1 закупку, при планируемом целевом показателе 2016 года – 3. Отставание обусловлено слабой информированностью предпринимателей о возможности участия в муниципальных закупках. В настоящее время активизирована работа по проведению ознакомительных семинаров с целью привлечения большего числа участников. За 2016 год данный целевой показатель улучшился с 1,</w:t>
      </w:r>
      <w:r w:rsidR="001B16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2,0.  </w:t>
      </w:r>
    </w:p>
    <w:p w:rsidR="004F6CEB" w:rsidRPr="001F6142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3.2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Плана мероприятий.</w:t>
      </w:r>
      <w:r w:rsidRPr="00B533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целях о</w:t>
      </w:r>
      <w:r w:rsidRPr="00B533D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3DD">
        <w:rPr>
          <w:rFonts w:ascii="Times New Roman" w:hAnsi="Times New Roman" w:cs="Times New Roman"/>
          <w:sz w:val="28"/>
          <w:szCs w:val="28"/>
        </w:rPr>
        <w:t xml:space="preserve"> равных условий доступа к информации о реали</w:t>
      </w:r>
      <w:r>
        <w:rPr>
          <w:rFonts w:ascii="Times New Roman" w:hAnsi="Times New Roman" w:cs="Times New Roman"/>
          <w:sz w:val="28"/>
          <w:szCs w:val="28"/>
        </w:rPr>
        <w:t xml:space="preserve">зации муниципального </w:t>
      </w:r>
      <w:r w:rsidRPr="001F6142">
        <w:rPr>
          <w:rFonts w:ascii="Times New Roman" w:hAnsi="Times New Roman" w:cs="Times New Roman"/>
          <w:sz w:val="28"/>
          <w:szCs w:val="28"/>
        </w:rPr>
        <w:t>имущества доля размещения информации о реализуемых объектах муниципальной собственности на официальном сайте Российской Федерации для размещения информации о проведении торгов в сети «Интернет» (www.torgi.gov.ru) и на официальном сайте уполномоченного органа в сети «Интернет» составляет 100 %, что соответствует запланированному целевому показателю 2016 года.</w:t>
      </w:r>
      <w:r>
        <w:rPr>
          <w:rFonts w:ascii="Times New Roman" w:hAnsi="Times New Roman" w:cs="Times New Roman"/>
          <w:sz w:val="28"/>
          <w:szCs w:val="28"/>
        </w:rPr>
        <w:t xml:space="preserve"> За 12 месяцев 2016 года произведено 26 публикаций (в т.ч. по земле - 20 публикаций, по имуществу – 6 публикаций).</w:t>
      </w:r>
    </w:p>
    <w:p w:rsidR="004F6CEB" w:rsidRDefault="004F6CEB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3.5.3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Плана мероприятий.</w:t>
      </w:r>
      <w:r w:rsidRPr="00071224">
        <w:rPr>
          <w:rFonts w:ascii="Times New Roman" w:hAnsi="Times New Roman" w:cs="Times New Roman"/>
          <w:sz w:val="28"/>
          <w:szCs w:val="28"/>
        </w:rPr>
        <w:t xml:space="preserve"> В целях устранение избыточного государственного и муниципального регулирования, а также снижение административных барьеров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город Новороссийск обеспечено </w:t>
      </w:r>
      <w:r w:rsidRPr="00071224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уровне 100 %, что соответствует планируемому целевому показателю 2016 года. За 12 месяцев 2016 </w:t>
      </w:r>
      <w:r w:rsidRPr="00071224">
        <w:rPr>
          <w:rFonts w:ascii="Times New Roman" w:hAnsi="Times New Roman" w:cs="Times New Roman"/>
          <w:sz w:val="28"/>
          <w:szCs w:val="28"/>
        </w:rPr>
        <w:t xml:space="preserve">года подготовлено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122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1224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 проектов муниципальных </w:t>
      </w:r>
      <w:r w:rsidRPr="0007122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Все заключения положительные. </w:t>
      </w:r>
      <w:r w:rsidRPr="005C7026">
        <w:rPr>
          <w:rFonts w:ascii="Times New Roman" w:hAnsi="Times New Roman" w:cs="Times New Roman"/>
          <w:sz w:val="28"/>
          <w:szCs w:val="28"/>
        </w:rPr>
        <w:t xml:space="preserve">Проведено 6 </w:t>
      </w:r>
      <w:r w:rsidRPr="005C7026">
        <w:rPr>
          <w:rFonts w:ascii="Times New Roman" w:eastAsia="Times New Roman" w:hAnsi="Times New Roman"/>
          <w:sz w:val="28"/>
          <w:szCs w:val="28"/>
        </w:rPr>
        <w:t>заседаний консультативного совета. От участников публичных консультаций поступило 5 замечаний и предложений, которые были учтены полностью или частично.</w:t>
      </w:r>
    </w:p>
    <w:p w:rsidR="004F6CEB" w:rsidRDefault="004F6CEB" w:rsidP="0001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3.12.1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4ADA">
        <w:rPr>
          <w:rFonts w:ascii="Times New Roman" w:hAnsi="Times New Roman" w:cs="Times New Roman"/>
          <w:sz w:val="28"/>
          <w:szCs w:val="28"/>
          <w:u w:val="single"/>
        </w:rPr>
        <w:t>Плана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подготовительной работы по </w:t>
      </w:r>
      <w:r w:rsidRPr="00071224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1224">
        <w:rPr>
          <w:rFonts w:ascii="Times New Roman" w:hAnsi="Times New Roman" w:cs="Times New Roman"/>
          <w:sz w:val="28"/>
          <w:szCs w:val="28"/>
        </w:rPr>
        <w:t xml:space="preserve"> учебно-производственных площадей (детских технопарков)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1224">
        <w:rPr>
          <w:rFonts w:ascii="Times New Roman" w:hAnsi="Times New Roman" w:cs="Times New Roman"/>
          <w:sz w:val="28"/>
          <w:szCs w:val="28"/>
        </w:rPr>
        <w:t xml:space="preserve"> их сети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течении 2016 года изучен опыт их создания на территории других регионов и мениципальных образований, в частности в г.г. </w:t>
      </w:r>
      <w:r w:rsidRPr="005412FB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Москве, Дмитрове, Жуковском, Королеве, Реутове, Самаре,</w:t>
      </w:r>
      <w:r w:rsidRPr="00165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12F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Новосибирске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412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 в Ульяновской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412F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Челябинской областях</w:t>
      </w:r>
      <w:r w:rsidRPr="005412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31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Управлением образования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31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Новороссийска изучается вопрос о вхождении некоторых общеобразовательных организаций 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3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</w:t>
      </w:r>
      <w:r w:rsidRPr="006531CA">
        <w:rPr>
          <w:rFonts w:ascii="Times New Roman" w:hAnsi="Times New Roman" w:cs="Times New Roman"/>
          <w:sz w:val="28"/>
          <w:szCs w:val="28"/>
        </w:rPr>
        <w:t>проект «Всероссийский Технопарк.РФ» в качестве опорных образовательных организаций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EB" w:rsidRDefault="004F6CEB" w:rsidP="00016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 положительного решения по данному вопросу с образовательной организацией будет </w:t>
      </w:r>
      <w:r w:rsidRPr="00E81E47">
        <w:rPr>
          <w:rFonts w:ascii="Times New Roman" w:hAnsi="Times New Roman" w:cs="Times New Roman"/>
          <w:sz w:val="28"/>
          <w:szCs w:val="28"/>
        </w:rPr>
        <w:t xml:space="preserve">заключено лицензионное соглашение, в рамках которого </w:t>
      </w:r>
      <w:r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Pr="00E81E47">
        <w:rPr>
          <w:rFonts w:ascii="Times New Roman" w:eastAsia="Calibri" w:hAnsi="Times New Roman" w:cs="Times New Roman"/>
          <w:sz w:val="28"/>
          <w:szCs w:val="28"/>
        </w:rPr>
        <w:t>интернет - сервис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81E47">
        <w:rPr>
          <w:rFonts w:ascii="Times New Roman" w:eastAsia="Calibri" w:hAnsi="Times New Roman" w:cs="Times New Roman"/>
          <w:sz w:val="28"/>
          <w:szCs w:val="28"/>
        </w:rPr>
        <w:t xml:space="preserve"> на следующие модули: Широкий спектр мотивирующих мероприятий для учащихся и учителей: конкурсы, выставки, смотры и многое другое – не менее 52 мероприятий в год; Интерактивные 3D-экскурсии цикла «Мир современных роботов» – не менее 55 экскурсий; IT- комплексы моделирования робототехники для вовлечения детей в программы технического и инженерного творчества – не менее 5; Основы изучения современных инженерных программ для моделирования современной техники и роботов – не менее 120 элементов; Опыты и эксперименты со сложными механическими машинами в условиях виртуальной лаборатории – не менее 54; Знакомство и изучение современных IT-роботов - не менее 240 элементов; Специализированные мероприятия для учащихся (фестивали, командные проекты, ярмарки идей) - не менее 20 мероприятий.</w:t>
      </w:r>
    </w:p>
    <w:p w:rsidR="00C24168" w:rsidRDefault="004F6CEB" w:rsidP="00016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5E76">
        <w:rPr>
          <w:rFonts w:ascii="Times New Roman" w:hAnsi="Times New Roman" w:cs="Times New Roman"/>
          <w:sz w:val="28"/>
          <w:szCs w:val="28"/>
        </w:rPr>
        <w:t>ткрытие учебно-производственных площадей (детских технопарков)</w:t>
      </w:r>
      <w:r>
        <w:rPr>
          <w:rFonts w:ascii="Times New Roman" w:hAnsi="Times New Roman" w:cs="Times New Roman"/>
          <w:sz w:val="28"/>
          <w:szCs w:val="28"/>
        </w:rPr>
        <w:t>, согласно Плану мероприятий, запланировано на 2017 и 2018 годы, по 1 единице в год.</w:t>
      </w:r>
    </w:p>
    <w:p w:rsidR="00504507" w:rsidRDefault="00504507" w:rsidP="00016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68" w:rsidRDefault="00C24168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CE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Создание и реализация механизмов общественного контроля за деятельностью субъектов естественных монополий</w:t>
      </w:r>
    </w:p>
    <w:p w:rsidR="00504507" w:rsidRPr="004F6CEB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0CC" w:rsidRPr="00AC62AF" w:rsidRDefault="005260CC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 xml:space="preserve">Рынок естественных монополий муниципального образования город Новороссийск представляют филиал ОАО «АТЭК» «Новороссийские тепловые сети» (выработка и реализация тепловой энергии), филиал ОАО «НЭСК» «Новороссийссэлектросети» и ОАО «Кубаньэнергосбыт» (передача электроэнергии), МУП «Водоканал города Новороссийска» (водоснабжение и водоотведение), Новороссийский участок ООО «Газпром межрегионгаз Краснодар» (реализация природного газа), и ООО «Терра-Н» </w:t>
      </w:r>
      <w:r w:rsidRPr="00AC62AF">
        <w:rPr>
          <w:rFonts w:ascii="Times New Roman" w:hAnsi="Times New Roman" w:cs="Times New Roman"/>
          <w:sz w:val="28"/>
          <w:szCs w:val="28"/>
        </w:rPr>
        <w:lastRenderedPageBreak/>
        <w:t>(Новороссийский экологический мусоросортировочный комплекс по обращению с твердыми коммунальными отходами).</w:t>
      </w:r>
    </w:p>
    <w:p w:rsidR="005260CC" w:rsidRPr="00AC62AF" w:rsidRDefault="005260CC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В целях развития конкуренции и удовлетворенности качеством товаров, работ и услуг, а также модернизации коммунальной инфраструктуры решением городской Думы муниципального образования город Новороссийск от 25 июня 2013 года утверждена «Программа комплексного развития систем коммунальной инфраструктуры муниципального образования город Новороссийск на 2013-2041 годы».</w:t>
      </w:r>
    </w:p>
    <w:p w:rsidR="005260CC" w:rsidRPr="00AC62AF" w:rsidRDefault="005260CC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В соответствии с утвержденной Программой комплексного развития коммунальной инфраструктуры на территории муниципального образования реализуется инвестиционные программы:</w:t>
      </w:r>
    </w:p>
    <w:p w:rsidR="005260CC" w:rsidRPr="00AC62AF" w:rsidRDefault="005260CC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- «Модернизация систем коммунальной инфраструктуры в сфере водоснабжения и водоотведения муниципального образования город Новороссийск на 2013-2021 годы), утвержденная решением городской Думы № 494 от 21 июля 2015 года;</w:t>
      </w:r>
    </w:p>
    <w:p w:rsidR="005260CC" w:rsidRPr="00AC62AF" w:rsidRDefault="005260CC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- «Развити</w:t>
      </w:r>
      <w:r w:rsidR="00453C25">
        <w:rPr>
          <w:rFonts w:ascii="Times New Roman" w:hAnsi="Times New Roman" w:cs="Times New Roman"/>
          <w:sz w:val="28"/>
          <w:szCs w:val="28"/>
        </w:rPr>
        <w:t>е</w:t>
      </w:r>
      <w:r w:rsidRPr="00AC62AF">
        <w:rPr>
          <w:rFonts w:ascii="Times New Roman" w:hAnsi="Times New Roman" w:cs="Times New Roman"/>
          <w:sz w:val="28"/>
          <w:szCs w:val="28"/>
        </w:rPr>
        <w:t xml:space="preserve"> объектов утилизации (захоронения) твердых коммунальных отходов ООО «Терра-Н» на 2016-2018 годы», утвержденная решением городской Думы № 45 от 22 декабря 2015 года.</w:t>
      </w:r>
    </w:p>
    <w:p w:rsidR="005260CC" w:rsidRPr="00AC62AF" w:rsidRDefault="005260CC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Тарифы на услуги естественных монополий, а также параметры надежности и качества предоставляемых товаров, работ и услуг утверждаются органами регулирования субъекта Российской Федерации.</w:t>
      </w:r>
    </w:p>
    <w:p w:rsidR="005260CC" w:rsidRPr="00AC62AF" w:rsidRDefault="005260CC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 xml:space="preserve">Информация об инвестиционных программах по развитию инженерной инфраструктуры, мониторинг исполнения инвестиционных программ, тарифы на товары, работы и услугу субъектов естественных монополий размещаются на официальном сайте Региональной энергетической комиссии – департамента цен и тарифов Краснодарского края </w:t>
      </w:r>
      <w:hyperlink r:id="rId38" w:history="1">
        <w:r w:rsidRPr="00AC62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62AF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AC62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rek</w:t>
        </w:r>
        <w:r w:rsidRPr="00AC62AF">
          <w:rPr>
            <w:rStyle w:val="af"/>
            <w:rFonts w:ascii="Times New Roman" w:hAnsi="Times New Roman" w:cs="Times New Roman"/>
            <w:sz w:val="28"/>
            <w:szCs w:val="28"/>
          </w:rPr>
          <w:t>23.</w:t>
        </w:r>
        <w:r w:rsidRPr="00AC62AF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62AF">
        <w:rPr>
          <w:rFonts w:ascii="Times New Roman" w:hAnsi="Times New Roman" w:cs="Times New Roman"/>
          <w:sz w:val="28"/>
          <w:szCs w:val="28"/>
        </w:rPr>
        <w:t>, а также в информационно-справочной базе ООО Компания «Паритет» (Гарант) и ООО «Фактор-Плюс» (КонсультантПлюс).</w:t>
      </w:r>
    </w:p>
    <w:p w:rsidR="005260CC" w:rsidRDefault="005260CC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F">
        <w:rPr>
          <w:rFonts w:ascii="Times New Roman" w:hAnsi="Times New Roman" w:cs="Times New Roman"/>
          <w:sz w:val="28"/>
          <w:szCs w:val="28"/>
        </w:rPr>
        <w:t>Иная информация о деятельности субъектов естественных монополий, предусмотренная к обязательному раскрытию в соответствии с действующим законодательством размещается на официальных сайтах организаций.</w:t>
      </w:r>
    </w:p>
    <w:p w:rsidR="003769E6" w:rsidRDefault="003769E6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осуществляющих деятельность на территории муниципального образования город Новоросийск прилагается (Приложение № 3).</w:t>
      </w:r>
    </w:p>
    <w:p w:rsidR="003C769F" w:rsidRDefault="003C769F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размещен на официальном сайте администрации муниципального образования город Новороссийск:  </w:t>
      </w:r>
      <w:r w:rsidRPr="00527D11">
        <w:rPr>
          <w:rFonts w:ascii="Times New Roman" w:hAnsi="Times New Roman" w:cs="Times New Roman"/>
          <w:sz w:val="28"/>
          <w:szCs w:val="28"/>
          <w:u w:val="single"/>
        </w:rPr>
        <w:t>http://admnvrsk.ru/podrazdeleniya/upravleniya/upravlenie-jekonomicheskogo-razvitija/standart-razvitiya-konkurentsii/</w:t>
      </w:r>
    </w:p>
    <w:p w:rsidR="003C769F" w:rsidRDefault="003C769F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90A" w:rsidRDefault="00C6190A" w:rsidP="00016C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тарифы на товары, работы и услуги субъектов естественных монополий регулируются Региональной энергетической комиссией – департамента цен и тарифов Краснодарского края контроль за полнотой и своевременностью раскрытия информации осуществляется на уровне субъекта Российской Федерации.</w:t>
      </w:r>
    </w:p>
    <w:p w:rsidR="00C6190A" w:rsidRDefault="00C6190A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D" w:rsidRDefault="00C90ECD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опроса представители хозяйствующих субъектов о</w:t>
      </w:r>
      <w:r w:rsidRPr="00C90ECD">
        <w:rPr>
          <w:rFonts w:ascii="Times New Roman" w:hAnsi="Times New Roman" w:cs="Times New Roman"/>
          <w:sz w:val="28"/>
          <w:szCs w:val="28"/>
        </w:rPr>
        <w:t>цени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90ECD">
        <w:rPr>
          <w:rFonts w:ascii="Times New Roman" w:hAnsi="Times New Roman" w:cs="Times New Roman"/>
          <w:sz w:val="28"/>
          <w:szCs w:val="28"/>
        </w:rPr>
        <w:t xml:space="preserve"> стоимость подключения к услугам субъектов естественных монополий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 (в % от общего количества участников опроса):</w:t>
      </w:r>
    </w:p>
    <w:p w:rsidR="00C90ECD" w:rsidRDefault="00C90ECD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03" w:type="dxa"/>
        <w:tblLook w:val="04A0"/>
      </w:tblPr>
      <w:tblGrid>
        <w:gridCol w:w="1900"/>
        <w:gridCol w:w="1649"/>
        <w:gridCol w:w="1559"/>
        <w:gridCol w:w="1418"/>
        <w:gridCol w:w="1417"/>
        <w:gridCol w:w="1418"/>
      </w:tblGrid>
      <w:tr w:rsidR="00C90ECD" w:rsidRPr="00C90ECD" w:rsidTr="00C90ECD">
        <w:trPr>
          <w:trHeight w:val="213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подключения к услугам субъектов естественных монополий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и</w:t>
            </w:r>
          </w:p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</w:tr>
      <w:tr w:rsidR="00C90ECD" w:rsidRPr="00C90ECD" w:rsidTr="00C90ECD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CD" w:rsidRPr="00C90ECD" w:rsidRDefault="00C90ECD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C90ECD" w:rsidRPr="00C90ECD" w:rsidTr="00C90ECD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CD" w:rsidRPr="00C90ECD" w:rsidRDefault="00C90ECD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C90ECD" w:rsidRPr="00C90ECD" w:rsidTr="00C90ECD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CD" w:rsidRPr="00C90ECD" w:rsidRDefault="00C90ECD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 высокая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C90ECD" w:rsidRPr="00C90ECD" w:rsidTr="00C90ECD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CD" w:rsidRPr="00C90ECD" w:rsidRDefault="00C90ECD" w:rsidP="0001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 низкая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CD" w:rsidRPr="00C90ECD" w:rsidRDefault="00C90ECD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</w:tbl>
    <w:p w:rsidR="00C90ECD" w:rsidRDefault="00C90ECD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D" w:rsidRDefault="00C90ECD" w:rsidP="00016C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2325" cy="3439886"/>
            <wp:effectExtent l="19050" t="0" r="22225" b="8164"/>
            <wp:docPr id="6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90ECD" w:rsidRDefault="00C90ECD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D" w:rsidRDefault="00C90ECD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C7" w:rsidRPr="00652DC7" w:rsidRDefault="00652DC7" w:rsidP="00016C8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хозяйствующих субъектов, доля участия муниципального образования в которых составляет 50% и более.</w:t>
      </w:r>
      <w:r w:rsidR="00C6190A" w:rsidRPr="00C6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69F" w:rsidRDefault="00652DC7" w:rsidP="00016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 2017 года  в муниципальном образовании город Новороссийск насчитывается 11 муниципальных унитарных предприятий, 1 открытое акционерное общество. </w:t>
      </w:r>
      <w:r w:rsidR="00C6190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4).</w:t>
      </w:r>
      <w:r w:rsidR="003C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69F" w:rsidRDefault="003C769F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размещен на официальном сайте администрации муниципального образования город Новороссийск:  </w:t>
      </w:r>
      <w:r w:rsidRPr="00527D11">
        <w:rPr>
          <w:rFonts w:ascii="Times New Roman" w:hAnsi="Times New Roman" w:cs="Times New Roman"/>
          <w:sz w:val="28"/>
          <w:szCs w:val="28"/>
          <w:u w:val="single"/>
        </w:rPr>
        <w:lastRenderedPageBreak/>
        <w:t>http://admnvrsk.ru/podrazdeleniya/upravleniya/upravlenie-jekonomicheskogo-razvitija/standart-razvitiya-konkurentsii/</w:t>
      </w:r>
    </w:p>
    <w:p w:rsidR="00C6190A" w:rsidRDefault="00C6190A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</w:t>
      </w:r>
      <w:r w:rsidR="00C6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и доле выручки в общей величине стоимостного оборота рынка представлены в таблице.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Долябезубыточных предприятий составляет 58%, в том числе: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«Городская квартирно-правовая служба»: чистая прибыль – 304тыс.руб.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«Комбинат специализированного обслуживания населения»: чистая прибыль – 4тыс.руб.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ДЮК «Нептун»: чистая прибыль – 215 тыс.руб.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«Банно-прачечный комбинат»: чистая прибыль – 446 тыс. 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«Полигон»: чистая прибыль – 3 037 тыс. 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«ФК «Черноморец»: чистая прибыль – 65 925 тыс. 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«Дирекция городского паркового хозяйства»: чистая прибыль – 0 тыс. 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убыточных предприятий составляет 42% от всех действующих МУП на территории города.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по пяти предприятиям составили 172 771 тыс. руб., в том числе: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«Водоканал Новороссийска» - 150 962 тыс.руб.,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«Городская управляющая компания» - 758 тыс. руб., 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«ЕРЦ» -  8 033 тыс.руб.,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«Чистый дом» - 4 960 тыс. руб.,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«Муниципальный пассажирский транспорт Новороссийска»  - 8 058тыс.руб.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 года дебиторская задолженность по всем МУПам города составила 461 млн. рублей. В целом по муниципальным унитарным предприятиям города на протяжении последних лет кредиторская задолженность превышает дебиторскую в 1,5 раза. Как правило, это связано с ростом задолженности перед ресурсоснабжающими предприятиями.</w:t>
      </w:r>
    </w:p>
    <w:p w:rsidR="00652DC7" w:rsidRPr="00652DC7" w:rsidRDefault="00652DC7" w:rsidP="00016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15"/>
        <w:gridCol w:w="1294"/>
        <w:gridCol w:w="1403"/>
        <w:gridCol w:w="1715"/>
        <w:gridCol w:w="1842"/>
      </w:tblGrid>
      <w:tr w:rsidR="00652DC7" w:rsidRPr="00652DC7" w:rsidTr="00652DC7">
        <w:trPr>
          <w:trHeight w:val="2414"/>
        </w:trPr>
        <w:tc>
          <w:tcPr>
            <w:tcW w:w="568" w:type="dxa"/>
            <w:shd w:val="clear" w:color="auto" w:fill="auto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№ п.п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ind w:left="-6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Наименование хоз. субъекта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Вид деятельности (рынок)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Объем выручки, тыс.руб.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Доля выручки в общей величине стоимостного оборота рынка, тыс.руб.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Доля реализованных на рынке товаров, работ и услуг в натура-льном выражении, %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из бюджета муниципального образования, тыс.руб.</w:t>
            </w:r>
          </w:p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"Полигон"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23 042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164 585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"Банно-прачечный комбинат" (БПК)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930400; 930200; 930100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10 615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"Водоканал г.Новороссийска"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41.00.1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810 771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1 000 951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29 085</w:t>
            </w: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"Дирекция городского паркового хозяйства" (ДГПХ)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01.41.2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"Городская управляющая компания"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142 371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647 141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"Городская квартирно-правовая служба" (ГКПС)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70.31.11; 74.14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3 611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"Чистый дом"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26 011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236 463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"Единый расчетный центр"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сбор платежей абонентов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"ДЮК "Нептун" (детско-юношеский кинотеатр)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92.13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10 616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70 773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"КСОН" (комбинат специализир. обслуживания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93.03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3 063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«Муниципальный пассажирский транспорт Новороссийска»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30 503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</w:t>
            </w: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ФК "Черноморец"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92.61</w:t>
            </w: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210 896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210 896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90 067</w:t>
            </w:r>
          </w:p>
        </w:tc>
      </w:tr>
      <w:tr w:rsidR="00652DC7" w:rsidRPr="00652DC7" w:rsidTr="00812464">
        <w:tc>
          <w:tcPr>
            <w:tcW w:w="568" w:type="dxa"/>
            <w:shd w:val="clear" w:color="auto" w:fill="auto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ind w:left="-125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1 286 446</w:t>
            </w:r>
          </w:p>
        </w:tc>
        <w:tc>
          <w:tcPr>
            <w:tcW w:w="1403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652DC7" w:rsidRPr="00652DC7" w:rsidRDefault="00652DC7" w:rsidP="00016C8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52DC7" w:rsidRPr="00652DC7" w:rsidRDefault="00652DC7" w:rsidP="00016C8B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121 845</w:t>
            </w:r>
          </w:p>
        </w:tc>
      </w:tr>
    </w:tbl>
    <w:p w:rsidR="00652DC7" w:rsidRPr="00652DC7" w:rsidRDefault="00652DC7" w:rsidP="00016C8B">
      <w:pPr>
        <w:tabs>
          <w:tab w:val="left" w:pos="0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DC7" w:rsidRPr="00652DC7" w:rsidRDefault="00652DC7" w:rsidP="00016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эффективности управления хозяйствующими субъектами, доля участия муниципального образования в которых составляет 50 и более процентов. 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Управлением экономического развития муниципального образования город Новороссийск проводится постоянная работа по мониторингу и контролю за финансовым состоянием муниципальных унитарных предприятий. По итогам отчетного периода проводился анализ финансово-хозяйственной деятельности каждого предприятия, мониторинг движения денежных средств, исполнение взятых обязательств. Действенным приемом </w:t>
      </w: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проблем являются балансовые комиссии, на которых анализируются причины возникновения проблем у предприятий и предлагаются мероприятия по их преодолению. За год проведено 28 балансовых комиссий. Результатом принятых решений являются: </w:t>
      </w:r>
    </w:p>
    <w:p w:rsidR="00652DC7" w:rsidRPr="00652DC7" w:rsidRDefault="00652DC7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-оптимизация штатной структуры рассматриваемых предприятий;</w:t>
      </w:r>
    </w:p>
    <w:p w:rsidR="00652DC7" w:rsidRPr="00652DC7" w:rsidRDefault="00652DC7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движением денежных средств;</w:t>
      </w:r>
    </w:p>
    <w:p w:rsidR="00652DC7" w:rsidRPr="00652DC7" w:rsidRDefault="00652DC7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-внесение предложений по реконструкции и развитию предприятий</w:t>
      </w:r>
    </w:p>
    <w:p w:rsidR="00652DC7" w:rsidRPr="00652DC7" w:rsidRDefault="00652DC7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засвоевременной и полной уплате налогов и погашению  задолженности по заработной плате</w:t>
      </w:r>
    </w:p>
    <w:p w:rsidR="00652DC7" w:rsidRPr="00652DC7" w:rsidRDefault="00652DC7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мероприятий по развитию коммерческой деятельности предприятий.</w:t>
      </w:r>
    </w:p>
    <w:p w:rsidR="00652DC7" w:rsidRPr="00652DC7" w:rsidRDefault="00652DC7" w:rsidP="000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Новороссийск 11 муниципальных унитарных предприятий и одно акционерное общество, доля участия муниципального образования в которых составляет 50% и более: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 Водоканал г.Новороссийска»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«Городская квартирно-правовая служба»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«Единый расчетный центр»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«Полигон»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«Чистый дом»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 Банно-прачечный комбинат»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«Дирекция городского паркового хозяйства»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«Детско-юношеский кинотеатр «Нептун»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«Городская квартирно-правовая служба»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«Комбинат специализированного  обслуживания населения»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«Муниципальный пассажирский транспорт Новороссийска»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открытое акционерное общество «ФК «Черноморец».</w:t>
      </w:r>
    </w:p>
    <w:p w:rsidR="00652DC7" w:rsidRPr="00652DC7" w:rsidRDefault="00652DC7" w:rsidP="0001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Два предприятия из выцшеуказанныхосуществляют социально-значимые функции: МУП «Детско-юношеский кинотеатр «Нептун» и МУП «Комбинат специализированного обслуживания населения», который дотируется из краевого бюджета на осуществление функций погребения лиц, не имеющих близких родственников либо законных представителей.</w:t>
      </w:r>
    </w:p>
    <w:p w:rsidR="00C90ECD" w:rsidRPr="00652DC7" w:rsidRDefault="00652DC7" w:rsidP="00016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 имущественных и земельных отношений администрации муниципального образования город Новороссийскв настоящее время рассматривается возможность включения в прогнозный план приватизации путем преобразования муниципальных унитарных предприятий в общества с ограниченной ответственностью вышеуказанный перечень МУПов, за исключением МУП «Детско-юношеский кинотеатр «Нептун» и МУП «Комбинат специализированного обслуживания населения».</w:t>
      </w:r>
    </w:p>
    <w:p w:rsidR="00C24168" w:rsidRDefault="00C24168" w:rsidP="00016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07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07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07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07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4168" w:rsidRDefault="00C24168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C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5.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</w:r>
    </w:p>
    <w:p w:rsidR="00504507" w:rsidRPr="004F6CEB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3D40" w:rsidRPr="00024E34" w:rsidRDefault="00F53D40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34">
        <w:rPr>
          <w:rFonts w:ascii="Times New Roman" w:hAnsi="Times New Roman" w:cs="Times New Roman"/>
          <w:sz w:val="28"/>
          <w:szCs w:val="28"/>
        </w:rPr>
        <w:t xml:space="preserve">На территории города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024E34">
        <w:rPr>
          <w:rFonts w:ascii="Times New Roman" w:hAnsi="Times New Roman" w:cs="Times New Roman"/>
          <w:sz w:val="28"/>
          <w:szCs w:val="28"/>
        </w:rPr>
        <w:t>15 000 единиц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бизнеса</w:t>
      </w:r>
      <w:r w:rsidRPr="00024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40" w:rsidRPr="003A5A84" w:rsidRDefault="00F53D40" w:rsidP="00016C8B">
      <w:pPr>
        <w:tabs>
          <w:tab w:val="left" w:pos="1276"/>
          <w:tab w:val="left" w:pos="46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5A84">
        <w:rPr>
          <w:rFonts w:ascii="Times New Roman" w:hAnsi="Times New Roman"/>
          <w:sz w:val="28"/>
          <w:szCs w:val="28"/>
        </w:rPr>
        <w:t>В 2016 году были реализованы следующие мероприятия, направленные на развитие субъектов малого и среднего предпринимательства:</w:t>
      </w:r>
    </w:p>
    <w:p w:rsidR="00F53D40" w:rsidRPr="00024E34" w:rsidRDefault="00F53D40" w:rsidP="00016C8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>-</w:t>
      </w:r>
      <w:r w:rsidRPr="00024E34">
        <w:rPr>
          <w:rFonts w:ascii="Times New Roman" w:hAnsi="Times New Roman"/>
          <w:sz w:val="28"/>
          <w:szCs w:val="28"/>
        </w:rPr>
        <w:tab/>
        <w:t>12  конференций, участие в них приняли 2203 предпринимателя;</w:t>
      </w:r>
    </w:p>
    <w:p w:rsidR="00F53D40" w:rsidRPr="00024E34" w:rsidRDefault="00F53D40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>-</w:t>
      </w:r>
      <w:r w:rsidRPr="00024E34">
        <w:rPr>
          <w:rFonts w:ascii="Times New Roman" w:hAnsi="Times New Roman"/>
          <w:sz w:val="28"/>
          <w:szCs w:val="28"/>
        </w:rPr>
        <w:tab/>
        <w:t>7 мероприятий «круглый стол», участие приняли 338 предприни мателей;</w:t>
      </w:r>
    </w:p>
    <w:p w:rsidR="00F53D40" w:rsidRPr="00024E34" w:rsidRDefault="00F53D40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>-</w:t>
      </w:r>
      <w:r w:rsidRPr="00024E34">
        <w:rPr>
          <w:rFonts w:ascii="Times New Roman" w:hAnsi="Times New Roman"/>
          <w:sz w:val="28"/>
          <w:szCs w:val="28"/>
        </w:rPr>
        <w:tab/>
        <w:t>15 рабочих совещаний с представителями малого и среднего предпринимательства во внутригородских районах по выявлению проблемных вопросов и определению путей их решения;</w:t>
      </w:r>
    </w:p>
    <w:p w:rsidR="00F53D40" w:rsidRPr="00024E34" w:rsidRDefault="00F53D40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>-</w:t>
      </w:r>
      <w:r w:rsidRPr="00024E34">
        <w:rPr>
          <w:rFonts w:ascii="Times New Roman" w:hAnsi="Times New Roman"/>
          <w:sz w:val="28"/>
          <w:szCs w:val="28"/>
        </w:rPr>
        <w:tab/>
        <w:t>4 мероприятия «День открытых дверей», участие приняли 1177 предпринимателей;</w:t>
      </w:r>
    </w:p>
    <w:p w:rsidR="00F53D40" w:rsidRPr="00024E34" w:rsidRDefault="00F53D40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E34">
        <w:rPr>
          <w:rFonts w:ascii="Times New Roman" w:hAnsi="Times New Roman"/>
          <w:sz w:val="28"/>
          <w:szCs w:val="28"/>
        </w:rPr>
        <w:t>-</w:t>
      </w:r>
      <w:r w:rsidRPr="00024E34">
        <w:rPr>
          <w:rFonts w:ascii="Times New Roman" w:hAnsi="Times New Roman"/>
          <w:sz w:val="28"/>
          <w:szCs w:val="28"/>
        </w:rPr>
        <w:tab/>
        <w:t>9 семинаров для предпринимателей, участие приняли 1112 предпринимателей;</w:t>
      </w:r>
    </w:p>
    <w:p w:rsidR="00F53D40" w:rsidRPr="003A5A84" w:rsidRDefault="00F53D40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 xml:space="preserve">В городе Новороссийск организовано первое и единственное сообщество предпринимателей для делового общения «БизнесСреда» при поддержке администрации муниципального образования. </w:t>
      </w:r>
    </w:p>
    <w:p w:rsidR="00F53D40" w:rsidRPr="003A5A84" w:rsidRDefault="00F53D40" w:rsidP="00016C8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84">
        <w:rPr>
          <w:rFonts w:ascii="Times New Roman" w:eastAsia="Times New Roman" w:hAnsi="Times New Roman" w:cs="Times New Roman"/>
          <w:sz w:val="28"/>
          <w:szCs w:val="28"/>
        </w:rPr>
        <w:t>«БизнесСреда» - э</w:t>
      </w:r>
      <w:r w:rsidRPr="003A5A84">
        <w:rPr>
          <w:rFonts w:ascii="Times New Roman" w:hAnsi="Times New Roman" w:cs="Times New Roman"/>
          <w:sz w:val="28"/>
          <w:szCs w:val="28"/>
        </w:rPr>
        <w:t xml:space="preserve">то проект маркетинг-агентства </w:t>
      </w:r>
      <w:r w:rsidRPr="003A5A84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A5A84">
        <w:rPr>
          <w:rFonts w:ascii="Times New Roman" w:hAnsi="Times New Roman" w:cs="Times New Roman"/>
          <w:sz w:val="28"/>
          <w:szCs w:val="28"/>
        </w:rPr>
        <w:t>, цель которого - создание сообщества предпринимателей для делового общения, оказания взаимовыгодных услуг, коллективного обучения, обмена опытом, взаимодействия с органами власти и государственными структурами. Проект открыт для всех представителей городского бизнеса. Для начинающих (стартаперов) – это возможность получить поддержку, практические навыки и знания для создания и развития собственного бизнеса. Для действующих предпринимателей – площадка для общения, обучения и расширения круга деловых контактов. Для опытных представителей бизнеса – возможность получить экспертный уровень, поделиться своим бесценным опытом.</w:t>
      </w:r>
      <w:r w:rsidRPr="003A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D40" w:rsidRPr="003A5A84" w:rsidRDefault="00F53D40" w:rsidP="00016C8B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Проект «БизнесСреда» имеет собственную площадку - более 300 кв.м. в самом центре Новороссийска – Советов 54, этаж 3. Здесь будет организован первый в городе коворкинг, где начинающие бизнесмены смогут получить оснащенное рабочее место на час, день, неделю или на постоянной основе. Кроем того, заработают деловое кафе, большой конференц-зал, несколько универсальных учебных классов, отделы бухгалтерского и юридического сопровождения бизнеса, профессиональный копировальный и печатный центр.</w:t>
      </w:r>
    </w:p>
    <w:p w:rsidR="00F53D40" w:rsidRPr="003A5A84" w:rsidRDefault="00F53D40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 xml:space="preserve">В целях консолидации усилий органов исполнительной власти, субъектов предпринимательской деятельности, выработке эффективных решений направленных на развитие предпринимательства в Краснодарском крае, губернатором Краснодарского края В. И. Кондратьевым состоялся форум малого и среднего бизнеса Кубани «Дело за малым». 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lastRenderedPageBreak/>
        <w:tab/>
        <w:t>Принято участие в семинарах и круглых столах Форума: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«Обеспечение доступа субъектов МСП к закупкам крупнейших заказчиков по федеральному закону № 223-ФЗ»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«Мышление миллиардеров»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«Экспертная оценка инновационных бизнес-моделей»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«Инструменты роста МСП на Кубани»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«Мотивация. Персонал решает все»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мастер - класс «Участие в государственных закупках по 44-ФЗ и 223-ФЗ»</w:t>
      </w:r>
    </w:p>
    <w:p w:rsidR="00F53D40" w:rsidRPr="003A5A84" w:rsidRDefault="00F53D40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- Пленарное заседание под председательством губернатора Краснодарского края В. И. Кондратьева</w:t>
      </w:r>
    </w:p>
    <w:p w:rsidR="00F53D40" w:rsidRPr="003A5A84" w:rsidRDefault="00F53D40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 xml:space="preserve">Данные мероприятия имеют консультационно-информационный характер. Основными вопросами на совещаниях являлись изменения в налоговом законодательстве, участие в государственных программах поддержки МСП, участие в программах по кредитованию субъектов МСП, уплаты обязательных платежей (налоги, НВОС и т. д.). </w:t>
      </w:r>
    </w:p>
    <w:p w:rsidR="00F53D40" w:rsidRPr="003A5A84" w:rsidRDefault="00F53D40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4">
        <w:rPr>
          <w:rFonts w:ascii="Times New Roman" w:hAnsi="Times New Roman" w:cs="Times New Roman"/>
          <w:sz w:val="28"/>
          <w:szCs w:val="28"/>
        </w:rPr>
        <w:t>Проводимые совещания помогают субъектам МСП узнать о существовании новых, выгодных кредитных продуктах, узнать о программе поддержки субъектов МСП на территории города, получить правовую оценку деятельности органов власти, получить необходимые разъяснения различных ситуаций.</w:t>
      </w:r>
      <w:r w:rsidRPr="003A5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D40" w:rsidRDefault="00F53D40" w:rsidP="00016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4523C">
        <w:rPr>
          <w:rFonts w:ascii="Times New Roman" w:eastAsia="Times New Roman" w:hAnsi="Times New Roman"/>
          <w:sz w:val="28"/>
          <w:szCs w:val="28"/>
        </w:rPr>
        <w:t>Работа по  повышению уровня информированности субъектов малого и среднего предпринимательства проводится в ежедневном режиме как на сайте отдела по взаимодействию с малым и средним бизнесом, так и на оф</w:t>
      </w:r>
      <w:r>
        <w:rPr>
          <w:rFonts w:ascii="Times New Roman" w:eastAsia="Times New Roman" w:hAnsi="Times New Roman"/>
          <w:sz w:val="28"/>
          <w:szCs w:val="28"/>
        </w:rPr>
        <w:t>ициальном сайте администрации МО г. Новороссийск</w:t>
      </w:r>
      <w:r w:rsidRPr="00A4523C">
        <w:rPr>
          <w:rFonts w:ascii="Times New Roman" w:eastAsia="Times New Roman" w:hAnsi="Times New Roman"/>
          <w:sz w:val="28"/>
          <w:szCs w:val="28"/>
        </w:rPr>
        <w:t>, на инвестиционном портале, в средствах массой информации, газетные публикации</w:t>
      </w:r>
      <w:r>
        <w:rPr>
          <w:rFonts w:ascii="Times New Roman" w:eastAsia="Times New Roman" w:hAnsi="Times New Roman"/>
          <w:sz w:val="28"/>
          <w:szCs w:val="28"/>
        </w:rPr>
        <w:t>. Ежедневно размещается актуальная информация, касающаяся изменения в законодательной базе, что не маловажно для субъектов малого и среднего предпринимательства, информация о проводимых бесплатных семинаров, совещаниях, советах, выставках – ярмарках, также информация по проведению анкетировании, мониторингов.</w:t>
      </w:r>
    </w:p>
    <w:p w:rsidR="00BE41E2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</w:t>
      </w:r>
      <w:r w:rsidRPr="00E01807">
        <w:rPr>
          <w:rFonts w:ascii="Times New Roman" w:hAnsi="Times New Roman" w:cs="Times New Roman"/>
          <w:sz w:val="28"/>
          <w:szCs w:val="28"/>
        </w:rPr>
        <w:t>странение административных барьеров и повышение качества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1807">
        <w:rPr>
          <w:rFonts w:ascii="Times New Roman" w:hAnsi="Times New Roman" w:cs="Times New Roman"/>
          <w:sz w:val="28"/>
          <w:szCs w:val="28"/>
        </w:rPr>
        <w:t xml:space="preserve"> 2006 года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1807">
        <w:rPr>
          <w:rFonts w:ascii="Times New Roman" w:hAnsi="Times New Roman" w:cs="Times New Roman"/>
          <w:sz w:val="28"/>
          <w:szCs w:val="28"/>
        </w:rPr>
        <w:t xml:space="preserve">униципальном образовании город Новороссийск осуществляет свою деятельность МБУ «Многофункциональный центр по предоставлению государственных и муниципальных услуг населению города Новороссийска» (далее - МФЦ). Основными целями работы центра являются -  обеспечение доступности получения государственных и муниципальных услуг по месту пребывания граждан и юридических лиц в городе, устранение коррупционной составляющей в процессе оформления необходимых документов, а также ликвидация рынка некачественных посреднических услуг. 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 xml:space="preserve">В 2014 году в открыт Южный филиал МФЦ, в 2015 году открыты 6 территориально – обособленных структурных подразделений МФЦ (далее - ТОСП), а также восстановлена работа Восточного ТОСП. Дополнительно в сентябре 2016 года был открыт Приморский отдел с 8 окнами приема. Таким </w:t>
      </w:r>
      <w:r w:rsidRPr="00E01807">
        <w:rPr>
          <w:rFonts w:ascii="Times New Roman" w:hAnsi="Times New Roman" w:cs="Times New Roman"/>
          <w:sz w:val="28"/>
          <w:szCs w:val="28"/>
        </w:rPr>
        <w:lastRenderedPageBreak/>
        <w:t>образом, в городе обеспечен охват 97 % населения (71 окна приема),исходя из показателя – одно окна приема на 5000 жителей. Также стоит отметить, что открытие ТОСП в сельских поселениях города обеспечила благоприятную среду для обработки обращений граждан и предпринимателей, которые проживают или осуществляют коммерческую деятельность в удаленных районах города.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 xml:space="preserve">МФЦ города Новороссийска активно взаимодействует с такими структурными подразделениями органов исполнительной власти как Отдел малого и среднего бизнеса города Новороссийска, а также Управление торговли и потребительского рынка города Новороссийска. На основании действующих соглашений и административных регламентов, в окнах приема МФЦ Новороссийска осуществляется сбор и передача на исполнение пакета документов по двум услуга Управления торговли и по четырем услугам Отдела малого и среднего бизнеса. В целях обеспечения доступности государственных и муниципальных услуг для юридических лиц и индивидуальных предпринимателей в МФЦ города Новороссийска проводятся семинары различной тематики, совместно с представителями Отдела малого и среднего бизнеса. На стендах в залах ожидания размещена необходимая информация об алгоритмах оказания государственных и муниципальных услуг представителям бизнеса. Информационные экраны в ежедневном режиме транслируют общественно – значимую информацию о необходимости оплаты налогов, изменениях в действующем законодательстве и др. Центральный и Южный отделы МФЦ Новороссийска оснащены терминалами банков, которые осуществляют принятие денежных средств для оплаты государственной пошлины за предоставление услуг. 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>С целью оптимизации процессов предоставления государственных услуг представителям малого и среднего предпринимательства, реализована возможность подачи заявлений о предоставлении услуг посредством регионального портала государственных и муниципальных услуг через личный кабинет заявителя.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>Филиалы МФЦ города Новороссийска обеспечены достаточным количеством пунктов удаленного доступа для выхода заявителей на Портал государственных услуг. Также в МФЦ реализован проект внедрения платных услуг по подготовке договоров для совершения сделок по льготной стоимости, в кратчайшие сроки для физических и юридических лиц.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 xml:space="preserve">Наиболее приоритетными услугами, предоставляемыми для юридических лиц и индивидуальных предпринимателей, являются - субсидирование малого и среднего бизнеса, получение разрешений на осуществление торговой деятельности на ярмарках города, государственная регистрация юридических лиц и физических лиц в качестве индивидуальных предпринимателей и крестьянских (фермерских) хозяйств; предоставление сведений, содержащихся в ЕГРЮЛ (ЕГРИП); государственная регистрация прав на недвижимое имущество и сделок с ним;государственный кадастровый учет недвижимого имущества; предоставление сведений, внесенных в государственный кадастр недвижимости; предоставление </w:t>
      </w:r>
      <w:r w:rsidRPr="00E01807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содержащихся в Едином государственном реестре прав на недвижимое имущество и сделок с ним; выдача разрешения на осуществление деятельности по перевозке пассажиров и багажа легковым такси (переоформление разрешения, выдача дубликата разрешения), предоставление информации о мерах муниципальной поддержки субъектов малого и среднего предпринимательства и т.п. 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>МФЦ города Новороссийска успешно работает в системе межведомственного электронного взаимодействия при предоставлении государственных и муниципальных услуг. Заявители освобождаются от обязанности предоставлять документы и информацию, которая находится в распоряжении органов власти (информацию о наличии (отсутствии) задолженности по уплате налогов, сборов, пеней и штрафов, кадастровые сведения, сведений из Единого государственного реестра юридических лиц,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>В части мероприятий, призванных совершенствовать систему качественного взаимодействия органов местного самоуправления и представителей бизнеса, в рамках МФЦ, возможны к реализации следующие мероприятия: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>- создание на базе МФЦ специализированного отдела «МФЦ  для  бизнеса», по опыту Муниципальных образований, успешно работающих на сегодняшний день в данном направлении (Краснодар, Уфа, Киров и др.)</w:t>
      </w:r>
    </w:p>
    <w:p w:rsidR="00BE41E2" w:rsidRPr="00E01807" w:rsidRDefault="00BE41E2" w:rsidP="00016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07">
        <w:rPr>
          <w:rFonts w:ascii="Times New Roman" w:hAnsi="Times New Roman" w:cs="Times New Roman"/>
          <w:sz w:val="28"/>
          <w:szCs w:val="28"/>
        </w:rPr>
        <w:t>Данные меры позволят осуществлять сопровождение заявителя в части сбора пакета документов на предоставление всех необходимых услуг, создания наиболее комфортные условий, в части отсутствия очереди, состоящей из физических лиц, неограниченного времени, для осуществления приема и консультирования представителя бизнеса, возможности доступа заявителя к Порталу государственных услуг, системе Консультант плюс, выхода в интернет. Наличие локального отдела для представителей бизнес-сообщества также обеспечит возможность информирования заявителей о всех направлениях работы</w:t>
      </w:r>
    </w:p>
    <w:p w:rsidR="00C24168" w:rsidRDefault="00C24168" w:rsidP="00016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168" w:rsidRDefault="00C24168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6C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6. Дополнительные комментарии со стороны муниципального образования («обратная связь»)</w:t>
      </w:r>
    </w:p>
    <w:p w:rsidR="00504507" w:rsidRPr="004F6CEB" w:rsidRDefault="00504507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22E9" w:rsidRDefault="00BE41E2" w:rsidP="0001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плана мероприятий по реализации</w:t>
      </w:r>
      <w:r w:rsidRPr="005C7026">
        <w:rPr>
          <w:rFonts w:ascii="Times New Roman" w:hAnsi="Times New Roman" w:cs="Times New Roman"/>
          <w:sz w:val="28"/>
          <w:szCs w:val="28"/>
        </w:rPr>
        <w:t xml:space="preserve"> мероприятий «дорожной карты» по содействию развитию конкуренции и по развитию конкурентной среды Краснодарского края</w:t>
      </w:r>
      <w:r w:rsidR="004422E9">
        <w:rPr>
          <w:rFonts w:ascii="Times New Roman" w:hAnsi="Times New Roman" w:cs="Times New Roman"/>
          <w:sz w:val="28"/>
          <w:szCs w:val="28"/>
        </w:rPr>
        <w:t xml:space="preserve"> была усовершенствована система муниципальных закупок для нужд муниципального образования.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71">
        <w:rPr>
          <w:rFonts w:ascii="Times New Roman" w:hAnsi="Times New Roman" w:cs="Times New Roman"/>
          <w:sz w:val="28"/>
          <w:szCs w:val="28"/>
        </w:rPr>
        <w:t>В 2016 году было размещено 1218 закупок на общую сумму 2 009 249,79 тыс. руб. (два миллиарда девять миллионов двести сорок девять тысяч рублей), по которым поступило 2499 заявок от участников закупки на участие, из них: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lastRenderedPageBreak/>
        <w:t>- 2129 заявок допущено к участию в закупке или 85% от общего числа поступивших заявок;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- 177 заявок отклонено или 7% от общего числа поступивших заявок;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- 193 заявки отозваны участниками или 7,7% от общего числа поступивших заявок.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Проведя анализ размещенных закупок можно сделать следующий вывод – количество участников увеличилось и в среднем составляет 2 участника на одну закупку.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 xml:space="preserve">Если сравнивать предыдущие периоды, то в 2013 году среднее количество участников составляет 1,2 участника, в 2014 году 1,6 участника, в 2015 году 1,5 участника. 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 xml:space="preserve">Таким образом, в 2016 году наибольшее количество участников. 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956391"/>
            <wp:effectExtent l="0" t="0" r="19050" b="25400"/>
            <wp:docPr id="62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422E9" w:rsidRPr="00A76171" w:rsidRDefault="004422E9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Проведя анализ размещенных закупок можно сделать следующий вывод – количество участников увеличилось и в среднем составляет 2,0 участника на одну закупку.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 xml:space="preserve">Если сравнивать предыдущие периоды, то в 2013 году среднее количество участников составляет 1,2 участника, в 2014 году 1,6 участника, в 2015 году 1,5 участника. 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 xml:space="preserve">Таким образом, в 2016 году наибольшее количество участников. 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62" w:type="pct"/>
        <w:tblCellMar>
          <w:left w:w="0" w:type="dxa"/>
          <w:right w:w="0" w:type="dxa"/>
        </w:tblCellMar>
        <w:tblLook w:val="0420"/>
      </w:tblPr>
      <w:tblGrid>
        <w:gridCol w:w="1282"/>
        <w:gridCol w:w="1489"/>
        <w:gridCol w:w="1095"/>
        <w:gridCol w:w="1317"/>
        <w:gridCol w:w="1489"/>
        <w:gridCol w:w="1399"/>
        <w:gridCol w:w="1553"/>
      </w:tblGrid>
      <w:tr w:rsidR="004422E9" w:rsidRPr="00A76171" w:rsidTr="00812464">
        <w:trPr>
          <w:trHeight w:val="1188"/>
        </w:trPr>
        <w:tc>
          <w:tcPr>
            <w:tcW w:w="6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Периоды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Размещено закупок</w:t>
            </w:r>
          </w:p>
        </w:tc>
        <w:tc>
          <w:tcPr>
            <w:tcW w:w="57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Подано заявок</w:t>
            </w:r>
          </w:p>
        </w:tc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Отозвано заявок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Отклонено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количество участников</w:t>
            </w:r>
          </w:p>
        </w:tc>
      </w:tr>
      <w:tr w:rsidR="004422E9" w:rsidRPr="00A76171" w:rsidTr="00812464">
        <w:trPr>
          <w:trHeight w:val="22"/>
        </w:trPr>
        <w:tc>
          <w:tcPr>
            <w:tcW w:w="66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77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57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6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2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8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4422E9" w:rsidRPr="00A76171" w:rsidTr="00812464">
        <w:trPr>
          <w:trHeight w:val="30"/>
        </w:trPr>
        <w:tc>
          <w:tcPr>
            <w:tcW w:w="6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2257</w:t>
            </w:r>
          </w:p>
        </w:tc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1,6</w:t>
            </w:r>
          </w:p>
        </w:tc>
      </w:tr>
      <w:tr w:rsidR="004422E9" w:rsidRPr="00A76171" w:rsidTr="00812464">
        <w:trPr>
          <w:trHeight w:val="12"/>
        </w:trPr>
        <w:tc>
          <w:tcPr>
            <w:tcW w:w="6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4422E9" w:rsidRPr="00A76171" w:rsidTr="00812464">
        <w:trPr>
          <w:trHeight w:val="12"/>
        </w:trPr>
        <w:tc>
          <w:tcPr>
            <w:tcW w:w="6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5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2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8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</w:tbl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lastRenderedPageBreak/>
        <w:t xml:space="preserve">Экономия по данным закупкам составила  6,5%, что в денежном эквиваленте составляет 131 287,95 тыс. руб. (сто тридцать один миллион двести восемьдесят семь тысяч рублей). 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0374" cy="3344333"/>
            <wp:effectExtent l="19050" t="0" r="12276" b="8467"/>
            <wp:docPr id="63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В сравнении в 2012 году экономия составила 5,6%, в 2013 году экономия составила 5,4%, в 2014 году экономия составила 4,1%, в 2015 году экономия составила 3,8%.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Таким образом, наибольшая экономия в процентном соотношении достигнута в 2016 году, что объясняется увеличением числа участников по закупкам.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1755"/>
        <w:gridCol w:w="2721"/>
        <w:gridCol w:w="3093"/>
        <w:gridCol w:w="2073"/>
      </w:tblGrid>
      <w:tr w:rsidR="004422E9" w:rsidRPr="00A76171" w:rsidTr="00812464">
        <w:trPr>
          <w:trHeight w:val="12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2C3453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Периоды</w:t>
            </w:r>
          </w:p>
        </w:tc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2C3453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НМЦК, тыс. руб.</w:t>
            </w:r>
          </w:p>
        </w:tc>
        <w:tc>
          <w:tcPr>
            <w:tcW w:w="16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2C3453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Экономия, тыс. руб.</w:t>
            </w:r>
          </w:p>
        </w:tc>
        <w:tc>
          <w:tcPr>
            <w:tcW w:w="107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Экономия, %</w:t>
            </w:r>
          </w:p>
        </w:tc>
      </w:tr>
      <w:tr w:rsidR="004422E9" w:rsidRPr="00A76171" w:rsidTr="00812464">
        <w:trPr>
          <w:trHeight w:val="22"/>
        </w:trPr>
        <w:tc>
          <w:tcPr>
            <w:tcW w:w="91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2 817 998,09</w:t>
            </w:r>
          </w:p>
        </w:tc>
        <w:tc>
          <w:tcPr>
            <w:tcW w:w="16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159 203,53</w:t>
            </w:r>
          </w:p>
        </w:tc>
        <w:tc>
          <w:tcPr>
            <w:tcW w:w="107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5,6%</w:t>
            </w:r>
          </w:p>
        </w:tc>
      </w:tr>
      <w:tr w:rsidR="004422E9" w:rsidRPr="00A76171" w:rsidTr="00812464">
        <w:trPr>
          <w:trHeight w:val="12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4 013 605,39</w:t>
            </w:r>
          </w:p>
        </w:tc>
        <w:tc>
          <w:tcPr>
            <w:tcW w:w="1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216 768,37</w:t>
            </w:r>
          </w:p>
        </w:tc>
        <w:tc>
          <w:tcPr>
            <w:tcW w:w="10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5,4%</w:t>
            </w:r>
          </w:p>
        </w:tc>
      </w:tr>
      <w:tr w:rsidR="004422E9" w:rsidRPr="00A76171" w:rsidTr="00812464">
        <w:trPr>
          <w:trHeight w:val="28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2 419 175,88</w:t>
            </w:r>
          </w:p>
        </w:tc>
        <w:tc>
          <w:tcPr>
            <w:tcW w:w="1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100 683,86</w:t>
            </w:r>
          </w:p>
        </w:tc>
        <w:tc>
          <w:tcPr>
            <w:tcW w:w="10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4,1%</w:t>
            </w:r>
          </w:p>
        </w:tc>
      </w:tr>
      <w:tr w:rsidR="004422E9" w:rsidRPr="00A76171" w:rsidTr="00812464">
        <w:trPr>
          <w:trHeight w:val="12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2 192 035,31</w:t>
            </w:r>
          </w:p>
        </w:tc>
        <w:tc>
          <w:tcPr>
            <w:tcW w:w="1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84 398,42</w:t>
            </w:r>
          </w:p>
        </w:tc>
        <w:tc>
          <w:tcPr>
            <w:tcW w:w="10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3,8%</w:t>
            </w:r>
          </w:p>
        </w:tc>
      </w:tr>
      <w:tr w:rsidR="004422E9" w:rsidRPr="00A76171" w:rsidTr="00812464">
        <w:trPr>
          <w:trHeight w:val="12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2 009 249,79</w:t>
            </w:r>
          </w:p>
        </w:tc>
        <w:tc>
          <w:tcPr>
            <w:tcW w:w="16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sz w:val="28"/>
                <w:szCs w:val="28"/>
              </w:rPr>
              <w:t>131 287,95</w:t>
            </w:r>
          </w:p>
        </w:tc>
        <w:tc>
          <w:tcPr>
            <w:tcW w:w="10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6,5%</w:t>
            </w:r>
          </w:p>
        </w:tc>
      </w:tr>
    </w:tbl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 xml:space="preserve">Статья 30 Закона о контрактной системе обязывает заказчиков осуществлять закупки у субъектов малого предпринимательства в объеме не менее 15% от совокупного объема закупок заказчика, за исключением закупок осуществленных у единственного поставщика, в том числе по результатам не состоявшейся закупки. 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lastRenderedPageBreak/>
        <w:t>По поручению губернатор Краснодарского края требование об осуществлять закупки у субъектов малого предпринимательства увеличено до в объеме не менее 20%.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Муниципальным образованием город Новороссийск заключено контрактов на общую сумму 228 665 тыс. руб. (двести двадцать восемь миллионов шестьсо</w:t>
      </w:r>
      <w:r>
        <w:rPr>
          <w:rFonts w:ascii="Times New Roman" w:hAnsi="Times New Roman" w:cs="Times New Roman"/>
          <w:sz w:val="28"/>
          <w:szCs w:val="28"/>
        </w:rPr>
        <w:t>т шестьдесят пять тысяч рублей)</w:t>
      </w:r>
      <w:r w:rsidRPr="00A76171">
        <w:rPr>
          <w:rFonts w:ascii="Times New Roman" w:hAnsi="Times New Roman" w:cs="Times New Roman"/>
          <w:sz w:val="28"/>
          <w:szCs w:val="28"/>
        </w:rPr>
        <w:t>, что составляет 46% от максимально возможного объема заключаемых контрактов.</w:t>
      </w:r>
    </w:p>
    <w:p w:rsidR="004422E9" w:rsidRPr="00A76171" w:rsidRDefault="004422E9" w:rsidP="00016C8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1885"/>
        <w:gridCol w:w="1661"/>
        <w:gridCol w:w="1420"/>
        <w:gridCol w:w="1559"/>
        <w:gridCol w:w="1557"/>
        <w:gridCol w:w="1560"/>
      </w:tblGrid>
      <w:tr w:rsidR="004422E9" w:rsidRPr="00A76171" w:rsidTr="00812464">
        <w:trPr>
          <w:trHeight w:val="1346"/>
        </w:trPr>
        <w:tc>
          <w:tcPr>
            <w:tcW w:w="97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СГОЗ</w:t>
            </w:r>
          </w:p>
        </w:tc>
        <w:tc>
          <w:tcPr>
            <w:tcW w:w="73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Возможно осуществить закупок у СМП</w:t>
            </w:r>
          </w:p>
        </w:tc>
        <w:tc>
          <w:tcPr>
            <w:tcW w:w="8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Требование установленное ст.30 44-ФЗ</w:t>
            </w:r>
          </w:p>
        </w:tc>
        <w:tc>
          <w:tcPr>
            <w:tcW w:w="80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Требование губернатора Краснодарского края</w:t>
            </w:r>
          </w:p>
        </w:tc>
        <w:tc>
          <w:tcPr>
            <w:tcW w:w="809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bCs/>
                <w:sz w:val="24"/>
                <w:szCs w:val="24"/>
              </w:rPr>
              <w:t>Факт выполнения</w:t>
            </w:r>
          </w:p>
        </w:tc>
      </w:tr>
      <w:tr w:rsidR="004422E9" w:rsidRPr="00A76171" w:rsidTr="00812464">
        <w:trPr>
          <w:trHeight w:val="544"/>
        </w:trPr>
        <w:tc>
          <w:tcPr>
            <w:tcW w:w="977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не  менее 15%</w:t>
            </w:r>
          </w:p>
        </w:tc>
        <w:tc>
          <w:tcPr>
            <w:tcW w:w="8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не  менее 20%</w:t>
            </w:r>
          </w:p>
        </w:tc>
        <w:tc>
          <w:tcPr>
            <w:tcW w:w="809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22E9" w:rsidRPr="00A76171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E9" w:rsidRPr="00A76171" w:rsidTr="00812464">
        <w:trPr>
          <w:trHeight w:val="851"/>
        </w:trPr>
        <w:tc>
          <w:tcPr>
            <w:tcW w:w="97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СМП</w:t>
            </w:r>
          </w:p>
        </w:tc>
        <w:tc>
          <w:tcPr>
            <w:tcW w:w="8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2 009 249,79</w:t>
            </w:r>
          </w:p>
        </w:tc>
        <w:tc>
          <w:tcPr>
            <w:tcW w:w="7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493 507</w:t>
            </w:r>
          </w:p>
        </w:tc>
        <w:tc>
          <w:tcPr>
            <w:tcW w:w="8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74 027</w:t>
            </w:r>
          </w:p>
        </w:tc>
        <w:tc>
          <w:tcPr>
            <w:tcW w:w="8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98 702</w:t>
            </w:r>
          </w:p>
        </w:tc>
        <w:tc>
          <w:tcPr>
            <w:tcW w:w="8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2E9" w:rsidRPr="00EE3BFB" w:rsidRDefault="004422E9" w:rsidP="00016C8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228  665</w:t>
            </w:r>
          </w:p>
        </w:tc>
      </w:tr>
    </w:tbl>
    <w:p w:rsidR="004422E9" w:rsidRDefault="004422E9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E9" w:rsidRPr="00A76171" w:rsidRDefault="004422E9" w:rsidP="00016C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171">
        <w:rPr>
          <w:rFonts w:ascii="Times New Roman" w:hAnsi="Times New Roman" w:cs="Times New Roman"/>
          <w:sz w:val="28"/>
          <w:szCs w:val="28"/>
        </w:rPr>
        <w:t>Таким образом, администрацией МО г. Новороссийск выполнено требование ст.30 44-ФЗ и поручение губернатора</w:t>
      </w:r>
    </w:p>
    <w:p w:rsidR="00C24168" w:rsidRDefault="00C24168" w:rsidP="00016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4168" w:rsidRDefault="00C24168" w:rsidP="00016C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4168" w:rsidRDefault="00C24168" w:rsidP="00016C8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6C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ПРИЛОЖЕНИЯ</w:t>
      </w:r>
    </w:p>
    <w:p w:rsidR="005260CC" w:rsidRPr="007D78CE" w:rsidRDefault="005260CC" w:rsidP="00016C8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5218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ответственных лиц по вопросу внедрения стандарта развития конкуренции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</w:p>
    <w:p w:rsidR="005260CC" w:rsidRDefault="005260CC" w:rsidP="00016C8B">
      <w:pPr>
        <w:pStyle w:val="Default"/>
        <w:tabs>
          <w:tab w:val="left" w:pos="426"/>
        </w:tabs>
        <w:spacing w:before="12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ab/>
      </w:r>
      <w:r w:rsidRPr="007D78CE">
        <w:rPr>
          <w:bCs/>
          <w:color w:val="auto"/>
          <w:sz w:val="28"/>
          <w:szCs w:val="28"/>
        </w:rPr>
        <w:t xml:space="preserve">Ведомственный план </w:t>
      </w:r>
      <w:r>
        <w:rPr>
          <w:bCs/>
          <w:color w:val="auto"/>
          <w:sz w:val="28"/>
          <w:szCs w:val="28"/>
        </w:rPr>
        <w:t>муниципального образования</w:t>
      </w:r>
      <w:r w:rsidR="004422E9">
        <w:rPr>
          <w:bCs/>
          <w:color w:val="auto"/>
          <w:sz w:val="28"/>
          <w:szCs w:val="28"/>
        </w:rPr>
        <w:t xml:space="preserve"> </w:t>
      </w:r>
      <w:r w:rsidRPr="007D78CE">
        <w:rPr>
          <w:sz w:val="28"/>
          <w:szCs w:val="28"/>
        </w:rPr>
        <w:t xml:space="preserve">в формате </w:t>
      </w:r>
      <w:r w:rsidRPr="008424E3">
        <w:rPr>
          <w:b/>
          <w:sz w:val="28"/>
          <w:szCs w:val="28"/>
        </w:rPr>
        <w:t>PDF</w:t>
      </w:r>
    </w:p>
    <w:p w:rsidR="005260CC" w:rsidRDefault="005260CC" w:rsidP="00016C8B">
      <w:pPr>
        <w:pStyle w:val="Default"/>
        <w:tabs>
          <w:tab w:val="left" w:pos="426"/>
        </w:tabs>
        <w:spacing w:before="12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Р</w:t>
      </w:r>
      <w:r w:rsidRPr="00D763FD">
        <w:rPr>
          <w:rFonts w:eastAsia="Times New Roman"/>
          <w:sz w:val="28"/>
          <w:szCs w:val="28"/>
          <w:lang w:eastAsia="ru-RU"/>
        </w:rPr>
        <w:t>еестр субъектов естественных монополий</w:t>
      </w:r>
      <w:r>
        <w:rPr>
          <w:rFonts w:eastAsia="Times New Roman"/>
          <w:sz w:val="28"/>
          <w:szCs w:val="28"/>
          <w:lang w:eastAsia="ru-RU"/>
        </w:rPr>
        <w:t>,</w:t>
      </w:r>
      <w:r w:rsidRPr="00D763FD">
        <w:rPr>
          <w:rFonts w:eastAsia="Times New Roman"/>
          <w:sz w:val="28"/>
          <w:szCs w:val="28"/>
          <w:lang w:eastAsia="ru-RU"/>
        </w:rPr>
        <w:t xml:space="preserve"> осуществляющих свою деятельность на территории муниципального образования</w:t>
      </w:r>
    </w:p>
    <w:p w:rsidR="005260CC" w:rsidRPr="00E23A46" w:rsidRDefault="005260CC" w:rsidP="00016C8B">
      <w:pPr>
        <w:pStyle w:val="Default"/>
        <w:tabs>
          <w:tab w:val="left" w:pos="426"/>
        </w:tabs>
        <w:spacing w:before="12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ab/>
      </w:r>
      <w:r w:rsidRPr="00105659">
        <w:rPr>
          <w:rFonts w:eastAsia="Times New Roman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</w:t>
      </w:r>
    </w:p>
    <w:p w:rsidR="005260CC" w:rsidRPr="004F6CEB" w:rsidRDefault="005260CC" w:rsidP="000F664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260CC" w:rsidRPr="004F6CEB" w:rsidSect="003C769F">
      <w:headerReference w:type="default" r:id="rId4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CA" w:rsidRDefault="00DC2ECA" w:rsidP="003C769F">
      <w:pPr>
        <w:spacing w:after="0" w:line="240" w:lineRule="auto"/>
      </w:pPr>
      <w:r>
        <w:separator/>
      </w:r>
    </w:p>
  </w:endnote>
  <w:endnote w:type="continuationSeparator" w:id="1">
    <w:p w:rsidR="00DC2ECA" w:rsidRDefault="00DC2ECA" w:rsidP="003C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CA" w:rsidRDefault="00DC2ECA" w:rsidP="003C769F">
      <w:pPr>
        <w:spacing w:after="0" w:line="240" w:lineRule="auto"/>
      </w:pPr>
      <w:r>
        <w:separator/>
      </w:r>
    </w:p>
  </w:footnote>
  <w:footnote w:type="continuationSeparator" w:id="1">
    <w:p w:rsidR="00DC2ECA" w:rsidRDefault="00DC2ECA" w:rsidP="003C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46001"/>
      <w:docPartObj>
        <w:docPartGallery w:val="Page Numbers (Top of Page)"/>
        <w:docPartUnique/>
      </w:docPartObj>
    </w:sdtPr>
    <w:sdtContent>
      <w:p w:rsidR="00D72147" w:rsidRDefault="008C7E73">
        <w:pPr>
          <w:pStyle w:val="af1"/>
          <w:jc w:val="center"/>
        </w:pPr>
        <w:fldSimple w:instr=" PAGE   \* MERGEFORMAT ">
          <w:r w:rsidR="00DE6C8B">
            <w:rPr>
              <w:noProof/>
            </w:rPr>
            <w:t>2</w:t>
          </w:r>
        </w:fldSimple>
      </w:p>
    </w:sdtContent>
  </w:sdt>
  <w:p w:rsidR="00D72147" w:rsidRDefault="00D721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124"/>
    <w:multiLevelType w:val="hybridMultilevel"/>
    <w:tmpl w:val="7F7C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195B"/>
    <w:multiLevelType w:val="hybridMultilevel"/>
    <w:tmpl w:val="A9E0A4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13B14"/>
    <w:multiLevelType w:val="hybridMultilevel"/>
    <w:tmpl w:val="96CC82B4"/>
    <w:lvl w:ilvl="0" w:tplc="496E6FC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E1B8F"/>
    <w:multiLevelType w:val="multilevel"/>
    <w:tmpl w:val="030AE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D50404"/>
    <w:multiLevelType w:val="multilevel"/>
    <w:tmpl w:val="D0E6A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>
    <w:nsid w:val="4E9A27F7"/>
    <w:multiLevelType w:val="multilevel"/>
    <w:tmpl w:val="D14CD2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0" w:hanging="2160"/>
      </w:pPr>
      <w:rPr>
        <w:rFonts w:hint="default"/>
      </w:rPr>
    </w:lvl>
  </w:abstractNum>
  <w:abstractNum w:abstractNumId="7">
    <w:nsid w:val="544C32C7"/>
    <w:multiLevelType w:val="hybridMultilevel"/>
    <w:tmpl w:val="5CC43742"/>
    <w:lvl w:ilvl="0" w:tplc="F49EE6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E02831"/>
    <w:multiLevelType w:val="multilevel"/>
    <w:tmpl w:val="F37C6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4" w:hanging="13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3" w:hanging="13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2" w:hanging="135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72D071B7"/>
    <w:multiLevelType w:val="hybridMultilevel"/>
    <w:tmpl w:val="74E6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81940"/>
    <w:multiLevelType w:val="hybridMultilevel"/>
    <w:tmpl w:val="AAACF4A0"/>
    <w:lvl w:ilvl="0" w:tplc="6F48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637DF"/>
    <w:multiLevelType w:val="multilevel"/>
    <w:tmpl w:val="9370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E0"/>
    <w:rsid w:val="0000799E"/>
    <w:rsid w:val="00016C8B"/>
    <w:rsid w:val="00044A60"/>
    <w:rsid w:val="00045765"/>
    <w:rsid w:val="00055C29"/>
    <w:rsid w:val="00060245"/>
    <w:rsid w:val="00066A5E"/>
    <w:rsid w:val="00066E7F"/>
    <w:rsid w:val="00092715"/>
    <w:rsid w:val="000B6467"/>
    <w:rsid w:val="000D4C7C"/>
    <w:rsid w:val="000D56CC"/>
    <w:rsid w:val="000E33D5"/>
    <w:rsid w:val="000E45E7"/>
    <w:rsid w:val="000E7DD2"/>
    <w:rsid w:val="000F4C42"/>
    <w:rsid w:val="000F4D60"/>
    <w:rsid w:val="000F6640"/>
    <w:rsid w:val="0013673B"/>
    <w:rsid w:val="00153FD2"/>
    <w:rsid w:val="0018402D"/>
    <w:rsid w:val="001A5A05"/>
    <w:rsid w:val="001B09E9"/>
    <w:rsid w:val="001B16B6"/>
    <w:rsid w:val="001C1F37"/>
    <w:rsid w:val="001C3359"/>
    <w:rsid w:val="001C3536"/>
    <w:rsid w:val="001D20E2"/>
    <w:rsid w:val="00202A3E"/>
    <w:rsid w:val="00210006"/>
    <w:rsid w:val="002220C6"/>
    <w:rsid w:val="00227496"/>
    <w:rsid w:val="00241F4E"/>
    <w:rsid w:val="0025142F"/>
    <w:rsid w:val="0026541C"/>
    <w:rsid w:val="00272EC9"/>
    <w:rsid w:val="002A11EF"/>
    <w:rsid w:val="002B1C85"/>
    <w:rsid w:val="002C4976"/>
    <w:rsid w:val="002C508A"/>
    <w:rsid w:val="002D5E16"/>
    <w:rsid w:val="002F3854"/>
    <w:rsid w:val="0030178D"/>
    <w:rsid w:val="00315A0D"/>
    <w:rsid w:val="00326664"/>
    <w:rsid w:val="00331B09"/>
    <w:rsid w:val="00342F88"/>
    <w:rsid w:val="00351E6F"/>
    <w:rsid w:val="00366554"/>
    <w:rsid w:val="003769E6"/>
    <w:rsid w:val="003819AD"/>
    <w:rsid w:val="00390E69"/>
    <w:rsid w:val="003B3161"/>
    <w:rsid w:val="003C769F"/>
    <w:rsid w:val="003D3EC5"/>
    <w:rsid w:val="003E0727"/>
    <w:rsid w:val="003F230B"/>
    <w:rsid w:val="003F7D5A"/>
    <w:rsid w:val="00401C8A"/>
    <w:rsid w:val="00415474"/>
    <w:rsid w:val="00426A18"/>
    <w:rsid w:val="004422E9"/>
    <w:rsid w:val="00450CD7"/>
    <w:rsid w:val="0045106D"/>
    <w:rsid w:val="0045368D"/>
    <w:rsid w:val="00453C25"/>
    <w:rsid w:val="0046654F"/>
    <w:rsid w:val="00471D7C"/>
    <w:rsid w:val="00473DA4"/>
    <w:rsid w:val="00483565"/>
    <w:rsid w:val="00496BBD"/>
    <w:rsid w:val="004A4180"/>
    <w:rsid w:val="004A7643"/>
    <w:rsid w:val="004B0C54"/>
    <w:rsid w:val="004B7D6E"/>
    <w:rsid w:val="004C4BE5"/>
    <w:rsid w:val="004C772E"/>
    <w:rsid w:val="004D67BE"/>
    <w:rsid w:val="004E53B9"/>
    <w:rsid w:val="004E70A3"/>
    <w:rsid w:val="004F5966"/>
    <w:rsid w:val="004F5FB7"/>
    <w:rsid w:val="004F6A3F"/>
    <w:rsid w:val="004F6CEB"/>
    <w:rsid w:val="004F72EB"/>
    <w:rsid w:val="00504507"/>
    <w:rsid w:val="0051260C"/>
    <w:rsid w:val="00514C16"/>
    <w:rsid w:val="005260CC"/>
    <w:rsid w:val="005458CE"/>
    <w:rsid w:val="00554ACB"/>
    <w:rsid w:val="005605F9"/>
    <w:rsid w:val="00560774"/>
    <w:rsid w:val="00596778"/>
    <w:rsid w:val="005A16C3"/>
    <w:rsid w:val="005A3172"/>
    <w:rsid w:val="005E2D2E"/>
    <w:rsid w:val="005E69FD"/>
    <w:rsid w:val="00600865"/>
    <w:rsid w:val="00606AB4"/>
    <w:rsid w:val="00621339"/>
    <w:rsid w:val="006311F8"/>
    <w:rsid w:val="00637AD0"/>
    <w:rsid w:val="00650C73"/>
    <w:rsid w:val="00652DC7"/>
    <w:rsid w:val="00663E59"/>
    <w:rsid w:val="00664FE5"/>
    <w:rsid w:val="00667A8A"/>
    <w:rsid w:val="00677974"/>
    <w:rsid w:val="006A1105"/>
    <w:rsid w:val="006B3052"/>
    <w:rsid w:val="006C7AED"/>
    <w:rsid w:val="006D0578"/>
    <w:rsid w:val="006D2A5A"/>
    <w:rsid w:val="006F3748"/>
    <w:rsid w:val="00701993"/>
    <w:rsid w:val="007118B3"/>
    <w:rsid w:val="00721C24"/>
    <w:rsid w:val="007227A8"/>
    <w:rsid w:val="0072280B"/>
    <w:rsid w:val="00726898"/>
    <w:rsid w:val="00731A45"/>
    <w:rsid w:val="00740F74"/>
    <w:rsid w:val="00745496"/>
    <w:rsid w:val="007611A7"/>
    <w:rsid w:val="007668D7"/>
    <w:rsid w:val="007858F5"/>
    <w:rsid w:val="007A3217"/>
    <w:rsid w:val="007C2A1D"/>
    <w:rsid w:val="007D4FA2"/>
    <w:rsid w:val="007D5F7F"/>
    <w:rsid w:val="007E1D99"/>
    <w:rsid w:val="008113A7"/>
    <w:rsid w:val="00812464"/>
    <w:rsid w:val="00814522"/>
    <w:rsid w:val="00855BC8"/>
    <w:rsid w:val="008819D2"/>
    <w:rsid w:val="0089298A"/>
    <w:rsid w:val="008C7E73"/>
    <w:rsid w:val="008D38DA"/>
    <w:rsid w:val="008D7A5D"/>
    <w:rsid w:val="009026C3"/>
    <w:rsid w:val="00906EF2"/>
    <w:rsid w:val="009161BB"/>
    <w:rsid w:val="0096068C"/>
    <w:rsid w:val="00982563"/>
    <w:rsid w:val="00992326"/>
    <w:rsid w:val="009A30D3"/>
    <w:rsid w:val="009A5905"/>
    <w:rsid w:val="009A6C66"/>
    <w:rsid w:val="009B2AB5"/>
    <w:rsid w:val="009D4383"/>
    <w:rsid w:val="009F506A"/>
    <w:rsid w:val="00A13596"/>
    <w:rsid w:val="00A329C0"/>
    <w:rsid w:val="00AA5CCA"/>
    <w:rsid w:val="00AB00CE"/>
    <w:rsid w:val="00AC62AF"/>
    <w:rsid w:val="00AD2008"/>
    <w:rsid w:val="00AD65A8"/>
    <w:rsid w:val="00AF65B9"/>
    <w:rsid w:val="00B153C9"/>
    <w:rsid w:val="00B43F42"/>
    <w:rsid w:val="00B53038"/>
    <w:rsid w:val="00B755E0"/>
    <w:rsid w:val="00B80876"/>
    <w:rsid w:val="00B8215D"/>
    <w:rsid w:val="00BA68B6"/>
    <w:rsid w:val="00BA766C"/>
    <w:rsid w:val="00BB427C"/>
    <w:rsid w:val="00BC2381"/>
    <w:rsid w:val="00BC2C21"/>
    <w:rsid w:val="00BE41E2"/>
    <w:rsid w:val="00BF029A"/>
    <w:rsid w:val="00C20084"/>
    <w:rsid w:val="00C20EBD"/>
    <w:rsid w:val="00C24168"/>
    <w:rsid w:val="00C3102B"/>
    <w:rsid w:val="00C32EE7"/>
    <w:rsid w:val="00C43DA5"/>
    <w:rsid w:val="00C57AA6"/>
    <w:rsid w:val="00C6190A"/>
    <w:rsid w:val="00C661FB"/>
    <w:rsid w:val="00C87963"/>
    <w:rsid w:val="00C90ECD"/>
    <w:rsid w:val="00C91C68"/>
    <w:rsid w:val="00C92072"/>
    <w:rsid w:val="00CB4412"/>
    <w:rsid w:val="00CB5469"/>
    <w:rsid w:val="00CC36DF"/>
    <w:rsid w:val="00CC5CAE"/>
    <w:rsid w:val="00CE7C8B"/>
    <w:rsid w:val="00CF6CD8"/>
    <w:rsid w:val="00D057B9"/>
    <w:rsid w:val="00D24E24"/>
    <w:rsid w:val="00D72147"/>
    <w:rsid w:val="00D81298"/>
    <w:rsid w:val="00D86050"/>
    <w:rsid w:val="00DA414D"/>
    <w:rsid w:val="00DB116C"/>
    <w:rsid w:val="00DC2ECA"/>
    <w:rsid w:val="00DD27A6"/>
    <w:rsid w:val="00DE6C8B"/>
    <w:rsid w:val="00E02996"/>
    <w:rsid w:val="00E20C68"/>
    <w:rsid w:val="00E41CCD"/>
    <w:rsid w:val="00E4364E"/>
    <w:rsid w:val="00E64F36"/>
    <w:rsid w:val="00E901D9"/>
    <w:rsid w:val="00EC1A2C"/>
    <w:rsid w:val="00ED2463"/>
    <w:rsid w:val="00ED3A2A"/>
    <w:rsid w:val="00ED607B"/>
    <w:rsid w:val="00EF035B"/>
    <w:rsid w:val="00EF3A90"/>
    <w:rsid w:val="00EF6D26"/>
    <w:rsid w:val="00F037CB"/>
    <w:rsid w:val="00F17B7B"/>
    <w:rsid w:val="00F234DA"/>
    <w:rsid w:val="00F43F65"/>
    <w:rsid w:val="00F53D40"/>
    <w:rsid w:val="00F8312C"/>
    <w:rsid w:val="00FE0A60"/>
    <w:rsid w:val="00FE0B5B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C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C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7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02A3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2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202A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202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202A3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02A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3F7D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30178D"/>
  </w:style>
  <w:style w:type="paragraph" w:styleId="ae">
    <w:name w:val="No Spacing"/>
    <w:link w:val="ad"/>
    <w:uiPriority w:val="1"/>
    <w:qFormat/>
    <w:rsid w:val="0030178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AC62A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901D9"/>
    <w:pPr>
      <w:ind w:left="720"/>
      <w:contextualSpacing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E901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3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0B6467"/>
    <w:rPr>
      <w:rFonts w:ascii="Symbol" w:hAnsi="Symbol" w:cs="OpenSymbol"/>
    </w:rPr>
  </w:style>
  <w:style w:type="paragraph" w:styleId="2">
    <w:name w:val="Body Text 2"/>
    <w:basedOn w:val="a"/>
    <w:link w:val="20"/>
    <w:uiPriority w:val="99"/>
    <w:semiHidden/>
    <w:unhideWhenUsed/>
    <w:rsid w:val="00C241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4168"/>
  </w:style>
  <w:style w:type="paragraph" w:customStyle="1" w:styleId="Default">
    <w:name w:val="Default"/>
    <w:rsid w:val="0052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C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C769F"/>
  </w:style>
  <w:style w:type="paragraph" w:styleId="af3">
    <w:name w:val="footer"/>
    <w:basedOn w:val="a"/>
    <w:link w:val="af4"/>
    <w:uiPriority w:val="99"/>
    <w:semiHidden/>
    <w:unhideWhenUsed/>
    <w:rsid w:val="003C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C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yperlink" Target="http://www.rek23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Krivobokova\&#1056;&#1072;&#1073;&#1086;&#1095;&#1080;&#1081;%20&#1089;&#1090;&#1086;&#1083;\&#1057;&#1083;&#1072;&#1081;&#1076;&#1099;%20&#1082;%20&#1080;&#1090;&#1086;&#1075;&#1072;&#1084;%20&#1079;&#1072;%20&#1103;&#1085;&#1074;&#1072;&#1088;&#1100;-&#1072;&#1074;&#1075;&#1091;&#1089;&#1090;%202015%20&#1075;&#1086;&#1076;&#1072;\&#1057;&#1083;&#1072;&#1081;&#1076;%203%20&#1057;&#1090;&#1088;&#1091;&#1082;&#1090;&#1091;&#1088;&#1072;%20&#1101;&#1082;&#1086;&#1085;&#1086;&#1084;&#1080;&#1082;&#1080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9.package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10.package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5111111111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16111121121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31131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141141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11151151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1411116116116.xlsx"/><Relationship Id="rId1" Type="http://schemas.openxmlformats.org/officeDocument/2006/relationships/themeOverride" Target="../theme/themeOverride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1511117117117.xlsx"/><Relationship Id="rId1" Type="http://schemas.openxmlformats.org/officeDocument/2006/relationships/themeOverride" Target="../theme/themeOverride6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6111181181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91191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201201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11211211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111221221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3.package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4.package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25.package"/><Relationship Id="rId1" Type="http://schemas.openxmlformats.org/officeDocument/2006/relationships/themeOverride" Target="../theme/themeOverride7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26.package"/><Relationship Id="rId1" Type="http://schemas.openxmlformats.org/officeDocument/2006/relationships/themeOverride" Target="../theme/themeOverride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11211121212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27.package"/><Relationship Id="rId1" Type="http://schemas.openxmlformats.org/officeDocument/2006/relationships/themeOverride" Target="../theme/themeOverride9.xm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28128128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1112912912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3131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1114141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111115151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31116161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41117171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ackage8.package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экономики МО город Новороссийск в 2016 году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985831176199168"/>
          <c:y val="0.20598604168381149"/>
          <c:w val="0.58188792944249756"/>
          <c:h val="0.6957496325486426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6018419732117523E-3"/>
                  <c:y val="-1.8808949719002974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11,8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4.7082369158352039E-2"/>
                  <c:y val="6.1717359921423867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</a:t>
                    </a:r>
                    <a:r>
                      <a:rPr lang="ru-RU" sz="1400"/>
                      <a:t>5,8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6.6930375308436582E-2"/>
                  <c:y val="5.7182636409068247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0,8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2.5164684902188168E-2"/>
                  <c:y val="2.2140798244954411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ru-RU" sz="1400"/>
                      <a:t>,3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1.2032721065427318E-2"/>
                  <c:y val="-5.9562551720745406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</a:t>
                    </a:r>
                    <a:r>
                      <a:rPr lang="ru-RU" sz="1400"/>
                      <a:t>,7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2.6183214795025615E-2"/>
                  <c:y val="-6.0289213272038816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r>
                      <a:rPr lang="ru-RU" sz="1400"/>
                      <a:t>,3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3.6765898368191982E-2"/>
                  <c:y val="-6.9447189262917403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16,5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7.5351544351189683E-3"/>
                  <c:y val="-3.6344431651442043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2,6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4.3428042534289675E-2"/>
                  <c:y val="-3.843424181933963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r>
                      <a:rPr lang="ru-RU" sz="1400"/>
                      <a:t>,2</a:t>
                    </a:r>
                    <a:r>
                      <a:rPr lang="en-US" sz="1400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Лист1!$A$1:$A$9</c:f>
              <c:strCache>
                <c:ptCount val="9"/>
                <c:pt idx="0">
                  <c:v>промышленность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строительство </c:v>
                </c:pt>
                <c:pt idx="4">
                  <c:v>розничная торговля</c:v>
                </c:pt>
                <c:pt idx="5">
                  <c:v>общественное питание</c:v>
                </c:pt>
                <c:pt idx="6">
                  <c:v>оптовая торговля</c:v>
                </c:pt>
                <c:pt idx="7">
                  <c:v>платные услуги населению</c:v>
                </c:pt>
                <c:pt idx="8">
                  <c:v>сельское хозяйство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43</c:v>
                </c:pt>
                <c:pt idx="1">
                  <c:v>191</c:v>
                </c:pt>
                <c:pt idx="2">
                  <c:v>3.8</c:v>
                </c:pt>
                <c:pt idx="3">
                  <c:v>11.6</c:v>
                </c:pt>
                <c:pt idx="4">
                  <c:v>30.6</c:v>
                </c:pt>
                <c:pt idx="5">
                  <c:v>1</c:v>
                </c:pt>
                <c:pt idx="6">
                  <c:v>76.2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21899191629657"/>
          <c:y val="0.15802695447922396"/>
          <c:w val="0.2609417102618678"/>
          <c:h val="0.74480994792798083"/>
        </c:manualLayout>
      </c:layout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zero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7.0574162679425775E-2"/>
          <c:y val="0.11136890951276075"/>
          <c:w val="0.84688995215311247"/>
          <c:h val="0.651972157772621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работающие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работающие; 2097 чел.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6.832106910503398E-2"/>
                  <c:y val="0.110112122119670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пенсионеры; 56 чел.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4.7126398673849844E-2"/>
                  <c:y val="0.171646076892439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временно неработающие; 28 чел.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4909688976747359"/>
                  <c:y val="0.2366112741082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студенты; 29 чел.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0.10542687005103821"/>
                  <c:y val="8.34790235281695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другое; 54 чел.</a:t>
                    </a:r>
                  </a:p>
                </c:rich>
              </c:tx>
              <c:dLblPos val="bestFit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работающие</c:v>
                </c:pt>
                <c:pt idx="1">
                  <c:v>пенсионеры</c:v>
                </c:pt>
                <c:pt idx="2">
                  <c:v>временно неработающие</c:v>
                </c:pt>
                <c:pt idx="3">
                  <c:v>студенты</c:v>
                </c:pt>
                <c:pt idx="4">
                  <c:v>другое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2097</c:v>
                </c:pt>
                <c:pt idx="1">
                  <c:v>56</c:v>
                </c:pt>
                <c:pt idx="2">
                  <c:v>28</c:v>
                </c:pt>
                <c:pt idx="3">
                  <c:v>29</c:v>
                </c:pt>
                <c:pt idx="4">
                  <c:v>54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2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926829268292745"/>
          <c:y val="2.5974025974026024E-2"/>
          <c:w val="0.74634146341463559"/>
          <c:h val="0.85194805194805323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8580653174158201E-2"/>
                  <c:y val="3.5134335196143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26,3%
</a:t>
                    </a:r>
                  </a:p>
                </c:rich>
              </c:tx>
            </c:dLbl>
            <c:dLbl>
              <c:idx val="1"/>
              <c:layout>
                <c:manualLayout>
                  <c:x val="1.7287376466584481E-3"/>
                  <c:y val="-5.15292643838004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49,8%</a:t>
                    </a:r>
                  </a:p>
                </c:rich>
              </c:tx>
            </c:dLbl>
            <c:dLbl>
              <c:idx val="2"/>
              <c:layout>
                <c:manualLayout>
                  <c:x val="6.1115717479985903E-4"/>
                  <c:y val="-1.65589464535758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21,6%</a:t>
                    </a:r>
                  </a:p>
                </c:rich>
              </c:tx>
            </c:dLbl>
            <c:dLbl>
              <c:idx val="3"/>
              <c:layout>
                <c:manualLayout>
                  <c:x val="-5.0315021962987427E-2"/>
                  <c:y val="-5.17181698842967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2,3%</a:t>
                    </a:r>
                  </a:p>
                </c:rich>
              </c:tx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избыточно (много)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26.3</c:v>
                </c:pt>
                <c:pt idx="1">
                  <c:v>49.8</c:v>
                </c:pt>
                <c:pt idx="2">
                  <c:v>21.6</c:v>
                </c:pt>
                <c:pt idx="3">
                  <c:v>2.2999999999999998</c:v>
                </c:pt>
              </c:numCache>
            </c:numRef>
          </c:val>
        </c:ser>
        <c:gapDepth val="0"/>
        <c:shape val="cylinder"/>
        <c:axId val="74599040"/>
        <c:axId val="74621312"/>
        <c:axId val="0"/>
      </c:bar3DChart>
      <c:catAx>
        <c:axId val="7459904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621312"/>
        <c:crosses val="autoZero"/>
        <c:auto val="1"/>
        <c:lblAlgn val="ctr"/>
        <c:lblOffset val="100"/>
        <c:tickLblSkip val="1"/>
        <c:tickMarkSkip val="1"/>
      </c:catAx>
      <c:valAx>
        <c:axId val="7462131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599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организаций, предоставляющих услуги психолого-педагогического сопровождения детей с ОВЗ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Избыток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0.39200000000000074</c:v>
                </c:pt>
                <c:pt idx="1">
                  <c:v>0.24300000000000024</c:v>
                </c:pt>
                <c:pt idx="2">
                  <c:v>0.33100000000000074</c:v>
                </c:pt>
                <c:pt idx="3">
                  <c:v>3.4000000000000002E-2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услуг организаций психолого-педагогического сопровождения детей с ОВЗ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 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0.39200000000000074</c:v>
                </c:pt>
                <c:pt idx="1">
                  <c:v>0.24300000000000024</c:v>
                </c:pt>
                <c:pt idx="2">
                  <c:v>0.33100000000000074</c:v>
                </c:pt>
                <c:pt idx="3">
                  <c:v>3.4000000000000002E-2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 учреждений предоставляемых услуги в сфере культуры г.Новороссийска</a:t>
            </a:r>
            <a:r>
              <a:rPr lang="ru-RU" sz="1600" baseline="0"/>
              <a:t> </a:t>
            </a:r>
          </a:p>
        </c:rich>
      </c:tx>
      <c:layout>
        <c:manualLayout>
          <c:xMode val="edge"/>
          <c:yMode val="edge"/>
          <c:x val="0.11721313681943601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учреждений предоставляемых услуги в сфере культуры по мнению опрошенных (%)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мало</c:v>
                </c:pt>
                <c:pt idx="1">
                  <c:v>недостаточно</c:v>
                </c:pt>
                <c:pt idx="2">
                  <c:v>достаточно</c:v>
                </c:pt>
                <c:pt idx="3">
                  <c:v>избыточно (много)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517</c:v>
                </c:pt>
                <c:pt idx="1">
                  <c:v>45</c:v>
                </c:pt>
                <c:pt idx="2">
                  <c:v>1142</c:v>
                </c:pt>
                <c:pt idx="3">
                  <c:v>560</c:v>
                </c:pt>
              </c:numCache>
            </c:numRef>
          </c:val>
        </c:ser>
        <c:shape val="box"/>
        <c:axId val="75019008"/>
        <c:axId val="75020544"/>
        <c:axId val="0"/>
      </c:bar3DChart>
      <c:catAx>
        <c:axId val="75019008"/>
        <c:scaling>
          <c:orientation val="minMax"/>
        </c:scaling>
        <c:delete val="1"/>
        <c:axPos val="b"/>
        <c:numFmt formatCode="General" sourceLinked="0"/>
        <c:tickLblPos val="none"/>
        <c:crossAx val="75020544"/>
        <c:crosses val="autoZero"/>
        <c:auto val="1"/>
        <c:lblAlgn val="ctr"/>
        <c:lblOffset val="100"/>
      </c:catAx>
      <c:valAx>
        <c:axId val="75020544"/>
        <c:scaling>
          <c:orientation val="minMax"/>
        </c:scaling>
        <c:axPos val="l"/>
        <c:majorGridlines>
          <c:spPr>
            <a:ln>
              <a:solidFill>
                <a:schemeClr val="accent4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7501900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услуг в сфере культуры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6600"/>
              </a:solidFill>
            </c:spPr>
          </c:dPt>
          <c:dPt>
            <c:idx val="2"/>
            <c:spPr>
              <a:solidFill>
                <a:srgbClr val="FF66FF"/>
              </a:solidFill>
            </c:spPr>
          </c:dPt>
          <c:dPt>
            <c:idx val="3"/>
            <c:spPr>
              <a:solidFill>
                <a:srgbClr val="33CCFF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скорее удовлетворительно</c:v>
                </c:pt>
                <c:pt idx="1">
                  <c:v>удовлетворительно</c:v>
                </c:pt>
                <c:pt idx="2">
                  <c:v>скорее неудовлетворительно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17</c:v>
                </c:pt>
                <c:pt idx="2">
                  <c:v>32</c:v>
                </c:pt>
                <c:pt idx="3">
                  <c:v>12</c:v>
                </c:pt>
              </c:numCache>
            </c:numRef>
          </c:val>
        </c:ser>
        <c:shape val="cylinder"/>
        <c:axId val="75167232"/>
        <c:axId val="75168768"/>
        <c:axId val="0"/>
      </c:bar3DChart>
      <c:catAx>
        <c:axId val="75167232"/>
        <c:scaling>
          <c:orientation val="minMax"/>
        </c:scaling>
        <c:delete val="1"/>
        <c:axPos val="b"/>
        <c:numFmt formatCode="General" sourceLinked="0"/>
        <c:tickLblPos val="none"/>
        <c:crossAx val="75168768"/>
        <c:crosses val="autoZero"/>
        <c:auto val="1"/>
        <c:lblAlgn val="ctr"/>
        <c:lblOffset val="100"/>
      </c:catAx>
      <c:valAx>
        <c:axId val="75168768"/>
        <c:scaling>
          <c:orientation val="minMax"/>
        </c:scaling>
        <c:axPos val="l"/>
        <c:majorGridlines/>
        <c:numFmt formatCode="General" sourceLinked="1"/>
        <c:tickLblPos val="nextTo"/>
        <c:crossAx val="7516723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2">
        <a:lumMod val="20000"/>
        <a:lumOff val="80000"/>
      </a:schemeClr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платных услуг за 2016 год</a:t>
            </a:r>
          </a:p>
        </c:rich>
      </c:tx>
      <c:layout>
        <c:manualLayout>
          <c:xMode val="edge"/>
          <c:yMode val="edge"/>
          <c:x val="0.12642096053782842"/>
          <c:y val="4.1228612657184076E-3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платных услуг за янарь-декабрь 2015</c:v>
                </c:pt>
              </c:strCache>
            </c:strRef>
          </c:tx>
          <c:dPt>
            <c:idx val="0"/>
            <c:spPr>
              <a:solidFill>
                <a:srgbClr val="33CCFF"/>
              </a:solidFill>
            </c:spPr>
          </c:dPt>
          <c:dPt>
            <c:idx val="1"/>
            <c:explosion val="35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is-IS"/>
                      <a:t>56 954,2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учреждения культуры            56 954,2 тыс. руб.</c:v>
                </c:pt>
                <c:pt idx="1">
                  <c:v>прочие учреждения социальной сферы                 9006795,4 тыс.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56954.2</c:v>
                </c:pt>
                <c:pt idx="1">
                  <c:v>9006795.4000000004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447950072098899"/>
          <c:y val="0.13674589377626581"/>
          <c:w val="0.37233222796890514"/>
          <c:h val="0.77614454037401404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zero"/>
  </c:chart>
  <c:spPr>
    <a:solidFill>
      <a:schemeClr val="accent6">
        <a:lumMod val="20000"/>
        <a:lumOff val="80000"/>
      </a:schemeClr>
    </a:solidFill>
    <a:ln>
      <a:solidFill>
        <a:schemeClr val="bg2">
          <a:lumMod val="50000"/>
        </a:schemeClr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2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</a:rPr>
              <a:t>РАЗВИТИЕ</a:t>
            </a:r>
            <a:r>
              <a:rPr lang="ru-RU" b="1" baseline="0">
                <a:solidFill>
                  <a:srgbClr val="002060"/>
                </a:solidFill>
              </a:rPr>
              <a:t> СЕТИ ПЛАТНЫХ УСЛУГ</a:t>
            </a:r>
            <a:endParaRPr lang="ru-RU" b="1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31275738097832001"/>
          <c:y val="4.4822949350067391E-3"/>
        </c:manualLayout>
      </c:layout>
      <c:spPr>
        <a:noFill/>
        <a:ln w="22246">
          <a:noFill/>
        </a:ln>
      </c:spPr>
    </c:title>
    <c:plotArea>
      <c:layout>
        <c:manualLayout>
          <c:layoutTarget val="inner"/>
          <c:xMode val="edge"/>
          <c:yMode val="edge"/>
          <c:x val="7.6885701957480831E-2"/>
          <c:y val="0.125347554325768"/>
          <c:w val="0.80842199714686003"/>
          <c:h val="0.852240970999200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F81BD"/>
            </a:solidFill>
            <a:ln w="22246">
              <a:noFill/>
            </a:ln>
          </c:spPr>
          <c:cat>
            <c:strRef>
              <c:f>Лист1!$A$2</c:f>
              <c:strCache>
                <c:ptCount val="1"/>
                <c:pt idx="0">
                  <c:v>Развитие платных услуг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41733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2246">
              <a:noFill/>
            </a:ln>
          </c:spPr>
          <c:cat>
            <c:strRef>
              <c:f>Лист1!$A$2</c:f>
              <c:strCache>
                <c:ptCount val="1"/>
                <c:pt idx="0">
                  <c:v>Развитие платных услуг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56954</c:v>
                </c:pt>
              </c:numCache>
            </c:numRef>
          </c:val>
        </c:ser>
        <c:gapWidth val="219"/>
        <c:overlap val="-27"/>
        <c:axId val="75122944"/>
        <c:axId val="75911168"/>
      </c:barChart>
      <c:catAx>
        <c:axId val="75122944"/>
        <c:scaling>
          <c:orientation val="minMax"/>
        </c:scaling>
        <c:delete val="1"/>
        <c:axPos val="b"/>
        <c:numFmt formatCode="General" sourceLinked="0"/>
        <c:tickLblPos val="none"/>
        <c:crossAx val="75911168"/>
        <c:crosses val="autoZero"/>
        <c:auto val="1"/>
        <c:lblAlgn val="ctr"/>
        <c:lblOffset val="100"/>
      </c:catAx>
      <c:valAx>
        <c:axId val="75911168"/>
        <c:scaling>
          <c:orientation val="minMax"/>
        </c:scaling>
        <c:axPos val="l"/>
        <c:majorGridlines>
          <c:spPr>
            <a:ln w="834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834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8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22944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70636363558379278"/>
          <c:y val="0.80653391544344699"/>
          <c:w val="0.27838415829353702"/>
          <c:h val="0.16035321895834287"/>
        </c:manualLayout>
      </c:layout>
      <c:spPr>
        <a:noFill/>
        <a:ln w="2224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834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14070351758797"/>
          <c:y val="7.2519083969465714E-2"/>
          <c:w val="0.49246231155779102"/>
          <c:h val="0.83587786259542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тыс. руб.</c:v>
                </c:pt>
              </c:strCache>
            </c:strRef>
          </c:tx>
          <c:spPr>
            <a:solidFill>
              <a:srgbClr val="9999FF"/>
            </a:solidFill>
            <a:ln w="61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61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61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61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61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2397">
                <a:noFill/>
              </a:ln>
            </c:spPr>
            <c:txPr>
              <a:bodyPr/>
              <a:lstStyle/>
              <a:p>
                <a:pPr>
                  <a:defRPr sz="56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МАУ ДО "ДХШ"</c:v>
                </c:pt>
                <c:pt idx="1">
                  <c:v>МАУ "Гортеатр"</c:v>
                </c:pt>
                <c:pt idx="2">
                  <c:v>МАУ "МКЦ"</c:v>
                </c:pt>
                <c:pt idx="3">
                  <c:v>МАУ "Парки"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12872</c:v>
                </c:pt>
                <c:pt idx="1">
                  <c:v>12847</c:v>
                </c:pt>
                <c:pt idx="2">
                  <c:v>12524</c:v>
                </c:pt>
                <c:pt idx="3">
                  <c:v>9315</c:v>
                </c:pt>
              </c:numCache>
            </c:numRef>
          </c:val>
        </c:ser>
        <c:dLbls>
          <c:showVal val="1"/>
        </c:dLbls>
        <c:gapDepth val="0"/>
        <c:shape val="box"/>
        <c:axId val="75368320"/>
        <c:axId val="75369856"/>
        <c:axId val="0"/>
      </c:bar3DChart>
      <c:catAx>
        <c:axId val="75368320"/>
        <c:scaling>
          <c:orientation val="minMax"/>
        </c:scaling>
        <c:delete val="1"/>
        <c:axPos val="b"/>
        <c:numFmt formatCode="General" sourceLinked="0"/>
        <c:tickLblPos val="none"/>
        <c:crossAx val="75369856"/>
        <c:crosses val="autoZero"/>
        <c:auto val="1"/>
        <c:lblAlgn val="ctr"/>
        <c:lblOffset val="100"/>
      </c:catAx>
      <c:valAx>
        <c:axId val="75369856"/>
        <c:scaling>
          <c:orientation val="minMax"/>
        </c:scaling>
        <c:axPos val="l"/>
        <c:majorGridlines>
          <c:spPr>
            <a:ln w="15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5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368320"/>
        <c:crosses val="autoZero"/>
        <c:crossBetween val="between"/>
      </c:valAx>
      <c:spPr>
        <a:noFill/>
        <a:ln w="20971">
          <a:noFill/>
        </a:ln>
      </c:spPr>
    </c:plotArea>
    <c:legend>
      <c:legendPos val="r"/>
      <c:layout>
        <c:manualLayout>
          <c:xMode val="edge"/>
          <c:yMode val="edge"/>
          <c:x val="0.66797524638579753"/>
          <c:y val="0.19451698230553949"/>
          <c:w val="0.31711711711711732"/>
          <c:h val="0.6445858943400008"/>
        </c:manualLayout>
      </c:layout>
      <c:spPr>
        <a:noFill/>
        <a:ln w="1550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6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956810631229"/>
          <c:y val="5.527638190954804E-2"/>
          <c:w val="0.5099667774086355"/>
          <c:h val="0.866834170854273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тыс. руб.</c:v>
                </c:pt>
              </c:strCache>
            </c:strRef>
          </c:tx>
          <c:spPr>
            <a:solidFill>
              <a:srgbClr val="9999FF"/>
            </a:solidFill>
            <a:ln w="721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72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72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72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721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4422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МБУ ДО "ДМШ"</c:v>
                </c:pt>
                <c:pt idx="1">
                  <c:v>МБУ ДО "ДШИ"</c:v>
                </c:pt>
                <c:pt idx="2">
                  <c:v>МБУ "ДК В.-Б."</c:v>
                </c:pt>
                <c:pt idx="3">
                  <c:v>МБУ "ЦБС"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3642</c:v>
                </c:pt>
                <c:pt idx="1">
                  <c:v>1218.5</c:v>
                </c:pt>
                <c:pt idx="2">
                  <c:v>936.5</c:v>
                </c:pt>
                <c:pt idx="3">
                  <c:v>906.8</c:v>
                </c:pt>
              </c:numCache>
            </c:numRef>
          </c:val>
        </c:ser>
        <c:dLbls>
          <c:showVal val="1"/>
        </c:dLbls>
        <c:gapDepth val="0"/>
        <c:shape val="box"/>
        <c:axId val="75281536"/>
        <c:axId val="75283072"/>
        <c:axId val="0"/>
      </c:bar3DChart>
      <c:catAx>
        <c:axId val="75281536"/>
        <c:scaling>
          <c:orientation val="minMax"/>
        </c:scaling>
        <c:delete val="1"/>
        <c:axPos val="b"/>
        <c:numFmt formatCode="General" sourceLinked="0"/>
        <c:tickLblPos val="none"/>
        <c:crossAx val="75283072"/>
        <c:crosses val="autoZero"/>
        <c:auto val="1"/>
        <c:lblAlgn val="ctr"/>
        <c:lblOffset val="100"/>
      </c:catAx>
      <c:valAx>
        <c:axId val="75283072"/>
        <c:scaling>
          <c:orientation val="minMax"/>
        </c:scaling>
        <c:axPos val="l"/>
        <c:majorGridlines>
          <c:spPr>
            <a:ln w="180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81536"/>
        <c:crosses val="autoZero"/>
        <c:crossBetween val="between"/>
      </c:valAx>
      <c:spPr>
        <a:noFill/>
        <a:ln w="21984">
          <a:noFill/>
        </a:ln>
      </c:spPr>
    </c:plotArea>
    <c:legend>
      <c:legendPos val="r"/>
      <c:layout>
        <c:manualLayout>
          <c:xMode val="edge"/>
          <c:yMode val="edge"/>
          <c:x val="0.66554621848739703"/>
          <c:y val="0.33219178082191808"/>
          <c:w val="0.32268907563025373"/>
          <c:h val="0.33561643835616489"/>
        </c:manualLayout>
      </c:layout>
      <c:spPr>
        <a:noFill/>
        <a:ln w="1803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50929058270912586"/>
          <c:y val="0"/>
          <c:w val="0.40442844362161423"/>
          <c:h val="0.92565572106367267"/>
        </c:manualLayout>
      </c:layout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'Лист1'!$A$2:$A$13</c:f>
              <c:strCache>
                <c:ptCount val="12"/>
                <c:pt idx="0">
                  <c:v>Сельское хозяйство и перерабатывающая промышленность</c:v>
                </c:pt>
                <c:pt idx="1">
                  <c:v>Производство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Оптовая  и розничная торговля, общественное питание, бытовые услуги</c:v>
                </c:pt>
                <c:pt idx="6">
                  <c:v>Cанаторно-курортная деятельность</c:v>
                </c:pt>
                <c:pt idx="7">
                  <c:v>ЖКХ</c:v>
                </c:pt>
                <c:pt idx="8">
                  <c:v>Здравоохранение </c:v>
                </c:pt>
                <c:pt idx="9">
                  <c:v>Образование</c:v>
                </c:pt>
                <c:pt idx="10">
                  <c:v>Операции с недвижимостью, аренда</c:v>
                </c:pt>
                <c:pt idx="11">
                  <c:v>Прочее</c:v>
                </c:pt>
              </c:strCache>
            </c:strRef>
          </c:cat>
          <c:val>
            <c:numRef>
              <c:f>'Лист1'!$B$2:$B$13</c:f>
              <c:numCache>
                <c:formatCode>#,##0</c:formatCode>
                <c:ptCount val="12"/>
                <c:pt idx="0">
                  <c:v>199017</c:v>
                </c:pt>
                <c:pt idx="1">
                  <c:v>1946948</c:v>
                </c:pt>
                <c:pt idx="2">
                  <c:v>94066</c:v>
                </c:pt>
                <c:pt idx="3">
                  <c:v>766322</c:v>
                </c:pt>
                <c:pt idx="4" formatCode="General">
                  <c:v>10184205</c:v>
                </c:pt>
                <c:pt idx="5">
                  <c:v>1110381</c:v>
                </c:pt>
                <c:pt idx="6" formatCode="General">
                  <c:v>135128</c:v>
                </c:pt>
                <c:pt idx="7">
                  <c:v>209503</c:v>
                </c:pt>
                <c:pt idx="8">
                  <c:v>350545</c:v>
                </c:pt>
                <c:pt idx="9">
                  <c:v>456384</c:v>
                </c:pt>
                <c:pt idx="10">
                  <c:v>1272437</c:v>
                </c:pt>
                <c:pt idx="11">
                  <c:v>2162999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119</a:t>
                    </a:r>
                    <a:r>
                      <a:rPr lang="ru-RU"/>
                      <a:t> </a:t>
                    </a:r>
                    <a:r>
                      <a:rPr lang="en-US"/>
                      <a:t>940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'Лист1'!$A$2:$A$13</c:f>
              <c:strCache>
                <c:ptCount val="12"/>
                <c:pt idx="0">
                  <c:v>Сельское хозяйство и перерабатывающая промышленность</c:v>
                </c:pt>
                <c:pt idx="1">
                  <c:v>Производство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Оптовая  и розничная торговля, общественное питание, бытовые услуги</c:v>
                </c:pt>
                <c:pt idx="6">
                  <c:v>Cанаторно-курортная деятельность</c:v>
                </c:pt>
                <c:pt idx="7">
                  <c:v>ЖКХ</c:v>
                </c:pt>
                <c:pt idx="8">
                  <c:v>Здравоохранение </c:v>
                </c:pt>
                <c:pt idx="9">
                  <c:v>Образование</c:v>
                </c:pt>
                <c:pt idx="10">
                  <c:v>Операции с недвижимостью, аренда</c:v>
                </c:pt>
                <c:pt idx="11">
                  <c:v>Прочее</c:v>
                </c:pt>
              </c:strCache>
            </c:strRef>
          </c:cat>
          <c:val>
            <c:numRef>
              <c:f>'Лист1'!$C$2:$C$13</c:f>
              <c:numCache>
                <c:formatCode>#,##0</c:formatCode>
                <c:ptCount val="12"/>
                <c:pt idx="0" formatCode="General">
                  <c:v>119940</c:v>
                </c:pt>
                <c:pt idx="1">
                  <c:v>1930362</c:v>
                </c:pt>
                <c:pt idx="2">
                  <c:v>83741</c:v>
                </c:pt>
                <c:pt idx="3" formatCode="General">
                  <c:v>715268</c:v>
                </c:pt>
                <c:pt idx="4" formatCode="General">
                  <c:v>10676538</c:v>
                </c:pt>
                <c:pt idx="5">
                  <c:v>1458842</c:v>
                </c:pt>
                <c:pt idx="6" formatCode="General">
                  <c:v>128368</c:v>
                </c:pt>
                <c:pt idx="7">
                  <c:v>226508</c:v>
                </c:pt>
                <c:pt idx="8">
                  <c:v>305536</c:v>
                </c:pt>
                <c:pt idx="9">
                  <c:v>366988</c:v>
                </c:pt>
                <c:pt idx="10" formatCode="General">
                  <c:v>1222481</c:v>
                </c:pt>
                <c:pt idx="11" formatCode="General">
                  <c:v>1285774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'Лист1'!$A$2:$A$13</c:f>
              <c:strCache>
                <c:ptCount val="12"/>
                <c:pt idx="0">
                  <c:v>Сельское хозяйство и перерабатывающая промышленность</c:v>
                </c:pt>
                <c:pt idx="1">
                  <c:v>Производство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Оптовая  и розничная торговля, общественное питание, бытовые услуги</c:v>
                </c:pt>
                <c:pt idx="6">
                  <c:v>Cанаторно-курортная деятельность</c:v>
                </c:pt>
                <c:pt idx="7">
                  <c:v>ЖКХ</c:v>
                </c:pt>
                <c:pt idx="8">
                  <c:v>Здравоохранение </c:v>
                </c:pt>
                <c:pt idx="9">
                  <c:v>Образование</c:v>
                </c:pt>
                <c:pt idx="10">
                  <c:v>Операции с недвижимостью, аренда</c:v>
                </c:pt>
                <c:pt idx="11">
                  <c:v>Прочее</c:v>
                </c:pt>
              </c:strCache>
            </c:strRef>
          </c:cat>
          <c:val>
            <c:numRef>
              <c:f>'Лист1'!$D$2:$D$13</c:f>
              <c:numCache>
                <c:formatCode>General</c:formatCode>
                <c:ptCount val="12"/>
              </c:numCache>
            </c:numRef>
          </c:val>
        </c:ser>
        <c:gapWidth val="0"/>
        <c:overlap val="-50"/>
        <c:axId val="74029696"/>
        <c:axId val="74043776"/>
      </c:barChart>
      <c:catAx>
        <c:axId val="74029696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74043776"/>
        <c:crosses val="autoZero"/>
        <c:auto val="1"/>
        <c:lblAlgn val="ctr"/>
        <c:lblOffset val="100"/>
      </c:catAx>
      <c:valAx>
        <c:axId val="74043776"/>
        <c:scaling>
          <c:orientation val="minMax"/>
        </c:scaling>
        <c:delete val="1"/>
        <c:axPos val="t"/>
        <c:numFmt formatCode="#,##0" sourceLinked="1"/>
        <c:tickLblPos val="none"/>
        <c:crossAx val="740296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Неуд-но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48.7</c:v>
                </c:pt>
                <c:pt idx="1">
                  <c:v>68.400000000000006</c:v>
                </c:pt>
                <c:pt idx="2">
                  <c:v>62.8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Скорее неуд-но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22.9</c:v>
                </c:pt>
                <c:pt idx="1">
                  <c:v>19.399999999999999</c:v>
                </c:pt>
                <c:pt idx="2">
                  <c:v>21.5</c:v>
                </c:pt>
                <c:pt idx="3">
                  <c:v>20.399999999999999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Уд-но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15.7</c:v>
                </c:pt>
                <c:pt idx="1">
                  <c:v>8</c:v>
                </c:pt>
                <c:pt idx="2">
                  <c:v>10.8</c:v>
                </c:pt>
                <c:pt idx="3">
                  <c:v>10.6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Скорее уд-но</c:v>
                </c:pt>
              </c:strCache>
            </c:strRef>
          </c:tx>
          <c:cat>
            <c:strRef>
              <c:f>'Лист1'!$A$2:$A$5</c:f>
              <c:strCache>
                <c:ptCount val="4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'Лист1'!$E$2:$E$5</c:f>
              <c:numCache>
                <c:formatCode>General</c:formatCode>
                <c:ptCount val="4"/>
                <c:pt idx="0">
                  <c:v>12.7</c:v>
                </c:pt>
                <c:pt idx="1">
                  <c:v>4.2</c:v>
                </c:pt>
                <c:pt idx="2">
                  <c:v>4.9000000000000004</c:v>
                </c:pt>
                <c:pt idx="3">
                  <c:v>8</c:v>
                </c:pt>
              </c:numCache>
            </c:numRef>
          </c:val>
        </c:ser>
        <c:axId val="76110848"/>
        <c:axId val="76116736"/>
      </c:barChart>
      <c:catAx>
        <c:axId val="76110848"/>
        <c:scaling>
          <c:orientation val="minMax"/>
        </c:scaling>
        <c:axPos val="b"/>
        <c:majorTickMark val="none"/>
        <c:tickLblPos val="nextTo"/>
        <c:crossAx val="76116736"/>
        <c:crosses val="autoZero"/>
        <c:auto val="1"/>
        <c:lblAlgn val="ctr"/>
        <c:lblOffset val="100"/>
      </c:catAx>
      <c:valAx>
        <c:axId val="76116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110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2436</c:v>
                </c:pt>
                <c:pt idx="1">
                  <c:v>177</c:v>
                </c:pt>
                <c:pt idx="2">
                  <c:v>2176</c:v>
                </c:pt>
                <c:pt idx="3">
                  <c:v>2868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2105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Водоснабжение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2215</c:v>
                </c:pt>
                <c:pt idx="1">
                  <c:v>124</c:v>
                </c:pt>
                <c:pt idx="2">
                  <c:v>1968</c:v>
                </c:pt>
                <c:pt idx="3">
                  <c:v>2432</c:v>
                </c:pt>
              </c:numCache>
            </c:numRef>
          </c:val>
        </c:ser>
        <c:axId val="74905472"/>
        <c:axId val="74907008"/>
      </c:barChart>
      <c:catAx>
        <c:axId val="74905472"/>
        <c:scaling>
          <c:orientation val="minMax"/>
        </c:scaling>
        <c:axPos val="b"/>
        <c:majorTickMark val="none"/>
        <c:tickLblPos val="nextTo"/>
        <c:crossAx val="74907008"/>
        <c:crosses val="autoZero"/>
        <c:auto val="1"/>
        <c:lblAlgn val="ctr"/>
        <c:lblOffset val="100"/>
      </c:catAx>
      <c:valAx>
        <c:axId val="74907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обращений</a:t>
                </a:r>
              </a:p>
            </c:rich>
          </c:tx>
        </c:title>
        <c:numFmt formatCode="General" sourceLinked="1"/>
        <c:majorTickMark val="none"/>
        <c:tickLblPos val="nextTo"/>
        <c:crossAx val="74905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%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gradFill>
                <a:gsLst>
                  <a:gs pos="31000">
                    <a:schemeClr val="accent1">
                      <a:tint val="66000"/>
                      <a:satMod val="160000"/>
                    </a:schemeClr>
                  </a:gs>
                  <a:gs pos="69000">
                    <a:srgbClr val="92D050"/>
                  </a:gs>
                  <a:gs pos="100000">
                    <a:srgbClr val="00B050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6.5</c:v>
                </c:pt>
                <c:pt idx="1">
                  <c:v>21</c:v>
                </c:pt>
                <c:pt idx="2">
                  <c:v>46.5</c:v>
                </c:pt>
                <c:pt idx="3">
                  <c:v>26</c:v>
                </c:pt>
              </c:numCache>
            </c:numRef>
          </c:val>
        </c:ser>
        <c:gapWidth val="92"/>
        <c:axId val="75763072"/>
        <c:axId val="75768960"/>
      </c:barChart>
      <c:catAx>
        <c:axId val="75763072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75768960"/>
        <c:crosses val="autoZero"/>
        <c:auto val="1"/>
        <c:lblAlgn val="ctr"/>
        <c:lblOffset val="100"/>
      </c:catAx>
      <c:valAx>
        <c:axId val="75768960"/>
        <c:scaling>
          <c:orientation val="minMax"/>
        </c:scaling>
        <c:axPos val="b"/>
        <c:numFmt formatCode="0.0" sourceLinked="1"/>
        <c:tickLblPos val="nextTo"/>
        <c:crossAx val="757630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Лист1!$B$20</c:f>
              <c:strCache>
                <c:ptCount val="1"/>
                <c:pt idx="0">
                  <c:v>в %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505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Лист1!$A$21:$A$25</c:f>
              <c:strCache>
                <c:ptCount val="5"/>
                <c:pt idx="0">
                  <c:v> Высокая</c:v>
                </c:pt>
                <c:pt idx="1">
                  <c:v> Скорее высокая</c:v>
                </c:pt>
                <c:pt idx="2">
                  <c:v> На среднем уровне</c:v>
                </c:pt>
                <c:pt idx="3">
                  <c:v> Скорее низкая</c:v>
                </c:pt>
                <c:pt idx="4">
                  <c:v> Низкая</c:v>
                </c:pt>
              </c:strCache>
            </c:strRef>
          </c:cat>
          <c:val>
            <c:numRef>
              <c:f>Лист1!$B$21:$B$25</c:f>
              <c:numCache>
                <c:formatCode>0.0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39</c:v>
                </c:pt>
                <c:pt idx="3">
                  <c:v>23.5</c:v>
                </c:pt>
                <c:pt idx="4">
                  <c:v>18.5</c:v>
                </c:pt>
              </c:numCache>
            </c:numRef>
          </c:val>
        </c:ser>
        <c:gapWidth val="66"/>
        <c:axId val="75790592"/>
        <c:axId val="75796480"/>
      </c:barChart>
      <c:catAx>
        <c:axId val="75790592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75796480"/>
        <c:crosses val="autoZero"/>
        <c:auto val="1"/>
        <c:lblAlgn val="ctr"/>
        <c:lblOffset val="100"/>
      </c:catAx>
      <c:valAx>
        <c:axId val="75796480"/>
        <c:scaling>
          <c:orientation val="minMax"/>
        </c:scaling>
        <c:axPos val="t"/>
        <c:numFmt formatCode="0.0" sourceLinked="1"/>
        <c:tickLblPos val="nextTo"/>
        <c:crossAx val="757905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Лист1!$B$33</c:f>
              <c:strCache>
                <c:ptCount val="1"/>
                <c:pt idx="0">
                  <c:v>в %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Лист1!$A$34:$A$35</c:f>
              <c:strCache>
                <c:ptCount val="2"/>
                <c:pt idx="0">
                  <c:v> Да, в лучшую сторону</c:v>
                </c:pt>
                <c:pt idx="1">
                  <c:v> Нет, осталось на прежнем низком уровне</c:v>
                </c:pt>
              </c:strCache>
            </c:strRef>
          </c:cat>
          <c:val>
            <c:numRef>
              <c:f>Лист1!$B$34:$B$35</c:f>
              <c:numCache>
                <c:formatCode>0.0</c:formatCode>
                <c:ptCount val="2"/>
                <c:pt idx="0">
                  <c:v>26</c:v>
                </c:pt>
                <c:pt idx="1">
                  <c:v>74</c:v>
                </c:pt>
              </c:numCache>
            </c:numRef>
          </c:val>
        </c:ser>
        <c:axId val="75923840"/>
        <c:axId val="75925376"/>
      </c:barChart>
      <c:catAx>
        <c:axId val="75923840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75925376"/>
        <c:crosses val="autoZero"/>
        <c:auto val="1"/>
        <c:lblAlgn val="ctr"/>
        <c:lblOffset val="100"/>
      </c:catAx>
      <c:valAx>
        <c:axId val="75925376"/>
        <c:scaling>
          <c:orientation val="minMax"/>
        </c:scaling>
        <c:axPos val="b"/>
        <c:numFmt formatCode="0.0" sourceLinked="1"/>
        <c:tickLblPos val="nextTo"/>
        <c:crossAx val="759238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9.9588916586685367E-2"/>
          <c:w val="1"/>
          <c:h val="0.81916144214861963"/>
        </c:manualLayout>
      </c:layout>
      <c:pie3DChart>
        <c:varyColors val="1"/>
        <c:ser>
          <c:idx val="0"/>
          <c:order val="0"/>
          <c:explosion val="42"/>
          <c:dPt>
            <c:idx val="1"/>
            <c:explosion val="19"/>
          </c:dPt>
          <c:dLbls>
            <c:dLbl>
              <c:idx val="0"/>
              <c:layout>
                <c:manualLayout>
                  <c:x val="-8.4103531176250024E-2"/>
                  <c:y val="-0.38974783541841795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достаточно
56%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1.7853503606166901E-2"/>
                  <c:y val="3.0224584648090628E-3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мало
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2435320584926876E-2"/>
                  <c:y val="-6.3822189349757294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/>
                      <a:t>избыток
37%</a:t>
                    </a: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Лист1!$B$2:$D$2</c:f>
              <c:strCache>
                <c:ptCount val="3"/>
                <c:pt idx="0">
                  <c:v>достаточно</c:v>
                </c:pt>
                <c:pt idx="1">
                  <c:v>мало</c:v>
                </c:pt>
                <c:pt idx="2">
                  <c:v>избыток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0.56999999999999995</c:v>
                </c:pt>
                <c:pt idx="1">
                  <c:v>7.0000000000000021E-2</c:v>
                </c:pt>
                <c:pt idx="2">
                  <c:v>0.37000000000000038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solidFill>
        <a:schemeClr val="bg1"/>
      </a:solidFill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253012048192794"/>
          <c:y val="0.10176991150442465"/>
          <c:w val="0.60642570281124497"/>
          <c:h val="0.796460176991150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достаточное</c:v>
                </c:pt>
                <c:pt idx="1">
                  <c:v>избыточное</c:v>
                </c:pt>
                <c:pt idx="2">
                  <c:v>малое</c:v>
                </c:pt>
                <c:pt idx="3">
                  <c:v>нет совсем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57.9</c:v>
                </c:pt>
                <c:pt idx="1">
                  <c:v>31.4</c:v>
                </c:pt>
                <c:pt idx="2">
                  <c:v>9.76</c:v>
                </c:pt>
                <c:pt idx="3">
                  <c:v>1.06</c:v>
                </c:pt>
              </c:numCache>
            </c:numRef>
          </c:val>
        </c:ser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416331994645236"/>
          <c:y val="0.31415929203539827"/>
          <c:w val="0.12048192771084337"/>
          <c:h val="0.3761061946902662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903225806451613"/>
          <c:y val="0.10176991150442465"/>
          <c:w val="0.58580645161290257"/>
          <c:h val="0.796460176991150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ск. Удововлет.</c:v>
                </c:pt>
                <c:pt idx="1">
                  <c:v>удовлетв.</c:v>
                </c:pt>
                <c:pt idx="2">
                  <c:v>неудовлетв.</c:v>
                </c:pt>
                <c:pt idx="3">
                  <c:v>ск. Неудовлетов.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74.3</c:v>
                </c:pt>
                <c:pt idx="1">
                  <c:v>15.9</c:v>
                </c:pt>
                <c:pt idx="2">
                  <c:v>6.8</c:v>
                </c:pt>
                <c:pt idx="3">
                  <c:v>3.09</c:v>
                </c:pt>
              </c:numCache>
            </c:numRef>
          </c:val>
        </c:ser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774193548387433"/>
          <c:y val="0.31415929203539827"/>
          <c:w val="0.14709677419354836"/>
          <c:h val="0.3761061946902662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830122591943974E-2"/>
          <c:y val="0.13023255813953488"/>
          <c:w val="0.7005253940455346"/>
          <c:h val="0.739534883720929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Ростелеком</c:v>
                </c:pt>
                <c:pt idx="1">
                  <c:v>Спринт</c:v>
                </c:pt>
                <c:pt idx="2">
                  <c:v>МТС</c:v>
                </c:pt>
                <c:pt idx="3">
                  <c:v>ТТк</c:v>
                </c:pt>
                <c:pt idx="4">
                  <c:v>другие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43.3</c:v>
                </c:pt>
                <c:pt idx="1">
                  <c:v>24.9</c:v>
                </c:pt>
                <c:pt idx="2">
                  <c:v>14.4</c:v>
                </c:pt>
                <c:pt idx="3">
                  <c:v>9.7000000000000011</c:v>
                </c:pt>
                <c:pt idx="4">
                  <c:v>7.7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063047285464165"/>
          <c:y val="0.2558139534883721"/>
          <c:w val="0.15236427320490364"/>
          <c:h val="0.493023255813954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82658959537571"/>
          <c:y val="0.10176991150442465"/>
          <c:w val="0.52023121387283233"/>
          <c:h val="0.7964601769911504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нет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57.2</c:v>
                </c:pt>
                <c:pt idx="1">
                  <c:v>34.1</c:v>
                </c:pt>
                <c:pt idx="2">
                  <c:v>7.7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55491329479906"/>
          <c:y val="0.31415929203539827"/>
          <c:w val="0.23988439306358381"/>
          <c:h val="0.376106194690266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'Лист1'!$A$2:$A$13</c:f>
              <c:strCache>
                <c:ptCount val="12"/>
                <c:pt idx="0">
                  <c:v>Сельское хозяйство и перерабатывающая промышленность</c:v>
                </c:pt>
                <c:pt idx="1">
                  <c:v>Производство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Оптовая  и розничная торговля, общественное питание, бытовые услуги</c:v>
                </c:pt>
                <c:pt idx="6">
                  <c:v>Cанаторно-курортная деятельность</c:v>
                </c:pt>
                <c:pt idx="7">
                  <c:v>ЖКХ</c:v>
                </c:pt>
                <c:pt idx="8">
                  <c:v>Здравоохранение </c:v>
                </c:pt>
                <c:pt idx="9">
                  <c:v>Образование</c:v>
                </c:pt>
                <c:pt idx="10">
                  <c:v>Операции с недвижимостью, аренда</c:v>
                </c:pt>
                <c:pt idx="11">
                  <c:v>Прочее</c:v>
                </c:pt>
              </c:strCache>
            </c:strRef>
          </c:cat>
          <c:val>
            <c:numRef>
              <c:f>'Лист1'!$B$2:$B$13</c:f>
              <c:numCache>
                <c:formatCode>#,##0</c:formatCode>
                <c:ptCount val="12"/>
                <c:pt idx="0">
                  <c:v>136392</c:v>
                </c:pt>
                <c:pt idx="1">
                  <c:v>2186023</c:v>
                </c:pt>
                <c:pt idx="2">
                  <c:v>94877</c:v>
                </c:pt>
                <c:pt idx="3">
                  <c:v>809961</c:v>
                </c:pt>
                <c:pt idx="4">
                  <c:v>12096956</c:v>
                </c:pt>
                <c:pt idx="5">
                  <c:v>1651397</c:v>
                </c:pt>
                <c:pt idx="6">
                  <c:v>144785</c:v>
                </c:pt>
                <c:pt idx="7">
                  <c:v>355811</c:v>
                </c:pt>
                <c:pt idx="8">
                  <c:v>346170</c:v>
                </c:pt>
                <c:pt idx="9">
                  <c:v>415472</c:v>
                </c:pt>
                <c:pt idx="10">
                  <c:v>1385064</c:v>
                </c:pt>
                <c:pt idx="11">
                  <c:v>1258910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'Лист1'!$A$2:$A$13</c:f>
              <c:strCache>
                <c:ptCount val="12"/>
                <c:pt idx="0">
                  <c:v>Сельское хозяйство и перерабатывающая промышленность</c:v>
                </c:pt>
                <c:pt idx="1">
                  <c:v>Производство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Оптовая  и розничная торговля, общественное питание, бытовые услуги</c:v>
                </c:pt>
                <c:pt idx="6">
                  <c:v>Cанаторно-курортная деятельность</c:v>
                </c:pt>
                <c:pt idx="7">
                  <c:v>ЖКХ</c:v>
                </c:pt>
                <c:pt idx="8">
                  <c:v>Здравоохранение </c:v>
                </c:pt>
                <c:pt idx="9">
                  <c:v>Образование</c:v>
                </c:pt>
                <c:pt idx="10">
                  <c:v>Операции с недвижимостью, аренда</c:v>
                </c:pt>
                <c:pt idx="11">
                  <c:v>Прочее</c:v>
                </c:pt>
              </c:strCache>
            </c:strRef>
          </c:cat>
          <c:val>
            <c:numRef>
              <c:f>'Лист1'!$C$2:$C$13</c:f>
              <c:numCache>
                <c:formatCode>#,##0</c:formatCode>
                <c:ptCount val="12"/>
                <c:pt idx="0">
                  <c:v>119940</c:v>
                </c:pt>
                <c:pt idx="1">
                  <c:v>1930362</c:v>
                </c:pt>
                <c:pt idx="2">
                  <c:v>83741</c:v>
                </c:pt>
                <c:pt idx="3">
                  <c:v>715268</c:v>
                </c:pt>
                <c:pt idx="4">
                  <c:v>10676538</c:v>
                </c:pt>
                <c:pt idx="5">
                  <c:v>1458842</c:v>
                </c:pt>
                <c:pt idx="6">
                  <c:v>128368</c:v>
                </c:pt>
                <c:pt idx="7">
                  <c:v>226508</c:v>
                </c:pt>
                <c:pt idx="8">
                  <c:v>305536</c:v>
                </c:pt>
                <c:pt idx="9">
                  <c:v>366988</c:v>
                </c:pt>
                <c:pt idx="10">
                  <c:v>1222481</c:v>
                </c:pt>
                <c:pt idx="11">
                  <c:v>1285774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'Лист1'!$A$2:$A$13</c:f>
              <c:strCache>
                <c:ptCount val="12"/>
                <c:pt idx="0">
                  <c:v>Сельское хозяйство и перерабатывающая промышленность</c:v>
                </c:pt>
                <c:pt idx="1">
                  <c:v>Производство</c:v>
                </c:pt>
                <c:pt idx="2">
                  <c:v>Добыча полезных ископаемых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Оптовая  и розничная торговля, общественное питание, бытовые услуги</c:v>
                </c:pt>
                <c:pt idx="6">
                  <c:v>Cанаторно-курортная деятельность</c:v>
                </c:pt>
                <c:pt idx="7">
                  <c:v>ЖКХ</c:v>
                </c:pt>
                <c:pt idx="8">
                  <c:v>Здравоохранение </c:v>
                </c:pt>
                <c:pt idx="9">
                  <c:v>Образование</c:v>
                </c:pt>
                <c:pt idx="10">
                  <c:v>Операции с недвижимостью, аренда</c:v>
                </c:pt>
                <c:pt idx="11">
                  <c:v>Прочее</c:v>
                </c:pt>
              </c:strCache>
            </c:strRef>
          </c:cat>
          <c:val>
            <c:numRef>
              <c:f>'Лист1'!$D$2:$D$13</c:f>
              <c:numCache>
                <c:formatCode>General</c:formatCode>
                <c:ptCount val="12"/>
              </c:numCache>
            </c:numRef>
          </c:val>
        </c:ser>
        <c:gapWidth val="0"/>
        <c:overlap val="-50"/>
        <c:axId val="73885952"/>
        <c:axId val="73900032"/>
      </c:barChart>
      <c:catAx>
        <c:axId val="73885952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3900032"/>
        <c:crosses val="autoZero"/>
        <c:auto val="1"/>
        <c:lblAlgn val="ctr"/>
        <c:lblOffset val="100"/>
      </c:catAx>
      <c:valAx>
        <c:axId val="73900032"/>
        <c:scaling>
          <c:orientation val="minMax"/>
        </c:scaling>
        <c:delete val="1"/>
        <c:axPos val="t"/>
        <c:numFmt formatCode="#,##0" sourceLinked="1"/>
        <c:tickLblPos val="none"/>
        <c:crossAx val="738859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6701030927835"/>
          <c:y val="0.10043668122270742"/>
          <c:w val="0.47164948453608224"/>
          <c:h val="0.7991266375545875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удовлетоворены</c:v>
                </c:pt>
                <c:pt idx="1">
                  <c:v>ск.удовлетв.</c:v>
                </c:pt>
                <c:pt idx="2">
                  <c:v>ск.неудовлетв.</c:v>
                </c:pt>
                <c:pt idx="3">
                  <c:v>неудовлетв.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79.099999999999994</c:v>
                </c:pt>
                <c:pt idx="1">
                  <c:v>13.82</c:v>
                </c:pt>
                <c:pt idx="2">
                  <c:v>5.25</c:v>
                </c:pt>
                <c:pt idx="3">
                  <c:v>1.9800000000000022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072164948453785"/>
          <c:y val="0.3144104803493466"/>
          <c:w val="0.2989690721649495"/>
          <c:h val="0.37117903930131002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457565450902822"/>
          <c:y val="4.0990311888242877E-2"/>
          <c:w val="0.6187066960901012"/>
          <c:h val="0.641884643851569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высокая</c:v>
                </c:pt>
              </c:strCache>
            </c:strRef>
          </c:tx>
          <c:cat>
            <c:strRef>
              <c:f>Лист1!$C$4:$G$4</c:f>
              <c:strCache>
                <c:ptCount val="5"/>
                <c:pt idx="0">
                  <c:v>водоснабжение и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Лист1!$C$5:$G$5</c:f>
              <c:numCache>
                <c:formatCode>0.0</c:formatCode>
                <c:ptCount val="5"/>
                <c:pt idx="0">
                  <c:v>28.4</c:v>
                </c:pt>
                <c:pt idx="1">
                  <c:v>30.8</c:v>
                </c:pt>
                <c:pt idx="2">
                  <c:v>33.300000000000004</c:v>
                </c:pt>
                <c:pt idx="3">
                  <c:v>22.3</c:v>
                </c:pt>
                <c:pt idx="4">
                  <c:v>13.6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Лист1!$C$4:$G$4</c:f>
              <c:strCache>
                <c:ptCount val="5"/>
                <c:pt idx="0">
                  <c:v>водоснабжение и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Лист1!$C$6:$G$6</c:f>
              <c:numCache>
                <c:formatCode>0.0</c:formatCode>
                <c:ptCount val="5"/>
                <c:pt idx="0">
                  <c:v>58</c:v>
                </c:pt>
                <c:pt idx="1">
                  <c:v>60.5</c:v>
                </c:pt>
                <c:pt idx="2">
                  <c:v>56.8</c:v>
                </c:pt>
                <c:pt idx="3">
                  <c:v>65.400000000000006</c:v>
                </c:pt>
                <c:pt idx="4">
                  <c:v>71.599999999999994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скорее высокая</c:v>
                </c:pt>
              </c:strCache>
            </c:strRef>
          </c:tx>
          <c:cat>
            <c:strRef>
              <c:f>Лист1!$C$4:$G$4</c:f>
              <c:strCache>
                <c:ptCount val="5"/>
                <c:pt idx="0">
                  <c:v>водоснабжение и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Лист1!$C$7:$G$7</c:f>
              <c:numCache>
                <c:formatCode>0.0</c:formatCode>
                <c:ptCount val="5"/>
                <c:pt idx="0">
                  <c:v>7.4</c:v>
                </c:pt>
                <c:pt idx="1">
                  <c:v>4.9000000000000004</c:v>
                </c:pt>
                <c:pt idx="2">
                  <c:v>7.4</c:v>
                </c:pt>
                <c:pt idx="3">
                  <c:v>8.6</c:v>
                </c:pt>
                <c:pt idx="4">
                  <c:v>13.6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скорее низкая</c:v>
                </c:pt>
              </c:strCache>
            </c:strRef>
          </c:tx>
          <c:cat>
            <c:strRef>
              <c:f>Лист1!$C$4:$G$4</c:f>
              <c:strCache>
                <c:ptCount val="5"/>
                <c:pt idx="0">
                  <c:v>водоснабжение и водоотведение</c:v>
                </c:pt>
                <c:pt idx="1">
                  <c:v>газоснабжение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Лист1!$C$8:$G$8</c:f>
              <c:numCache>
                <c:formatCode>0.0</c:formatCode>
                <c:ptCount val="5"/>
                <c:pt idx="0">
                  <c:v>6.2</c:v>
                </c:pt>
                <c:pt idx="1">
                  <c:v>3.8</c:v>
                </c:pt>
                <c:pt idx="2">
                  <c:v>2.5</c:v>
                </c:pt>
                <c:pt idx="3">
                  <c:v>3.7</c:v>
                </c:pt>
                <c:pt idx="4">
                  <c:v>1.2</c:v>
                </c:pt>
              </c:numCache>
            </c:numRef>
          </c:val>
        </c:ser>
        <c:axId val="76946048"/>
        <c:axId val="76988800"/>
      </c:barChart>
      <c:catAx>
        <c:axId val="76946048"/>
        <c:scaling>
          <c:orientation val="minMax"/>
        </c:scaling>
        <c:axPos val="b"/>
        <c:tickLblPos val="nextTo"/>
        <c:crossAx val="76988800"/>
        <c:crosses val="autoZero"/>
        <c:auto val="1"/>
        <c:lblAlgn val="ctr"/>
        <c:lblOffset val="100"/>
      </c:catAx>
      <c:valAx>
        <c:axId val="76988800"/>
        <c:scaling>
          <c:orientation val="minMax"/>
        </c:scaling>
        <c:axPos val="l"/>
        <c:majorGridlines/>
        <c:numFmt formatCode="0.0" sourceLinked="1"/>
        <c:tickLblPos val="nextTo"/>
        <c:crossAx val="769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074201425771204E-2"/>
          <c:y val="3.679735173458093E-2"/>
          <c:w val="0.75473450212989912"/>
          <c:h val="0.840091070128012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допущено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1742</c:v>
                </c:pt>
                <c:pt idx="1">
                  <c:v>1954</c:v>
                </c:pt>
                <c:pt idx="2">
                  <c:v>1507</c:v>
                </c:pt>
                <c:pt idx="3">
                  <c:v>2129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265</c:v>
                </c:pt>
                <c:pt idx="1">
                  <c:v>280</c:v>
                </c:pt>
                <c:pt idx="2">
                  <c:v>241</c:v>
                </c:pt>
                <c:pt idx="3">
                  <c:v>177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отозвали свою заявку</c:v>
                </c:pt>
              </c:strCache>
            </c:strRef>
          </c:tx>
          <c:dLbls>
            <c:dLbl>
              <c:idx val="0"/>
              <c:layout>
                <c:manualLayout>
                  <c:x val="1.1125833616224495E-2"/>
                  <c:y val="-8.11298744583935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88750424336665E-2"/>
                  <c:y val="-7.760248861237649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516562818252501E-2"/>
                  <c:y val="-7.40751027663591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536460101402948E-3"/>
                  <c:y val="-9.171203199644482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23</c:v>
                </c:pt>
                <c:pt idx="2">
                  <c:v>38</c:v>
                </c:pt>
                <c:pt idx="3">
                  <c:v>193</c:v>
                </c:pt>
              </c:numCache>
            </c:numRef>
          </c:val>
        </c:ser>
        <c:shape val="box"/>
        <c:axId val="86376448"/>
        <c:axId val="86377984"/>
        <c:axId val="0"/>
      </c:bar3DChart>
      <c:catAx>
        <c:axId val="86376448"/>
        <c:scaling>
          <c:orientation val="minMax"/>
        </c:scaling>
        <c:axPos val="b"/>
        <c:numFmt formatCode="General" sourceLinked="1"/>
        <c:tickLblPos val="nextTo"/>
        <c:crossAx val="86377984"/>
        <c:crosses val="autoZero"/>
        <c:auto val="1"/>
        <c:lblAlgn val="ctr"/>
        <c:lblOffset val="100"/>
      </c:catAx>
      <c:valAx>
        <c:axId val="86377984"/>
        <c:scaling>
          <c:orientation val="minMax"/>
          <c:max val="2500"/>
        </c:scaling>
        <c:axPos val="l"/>
        <c:majorGridlines/>
        <c:numFmt formatCode="General" sourceLinked="1"/>
        <c:tickLblPos val="nextTo"/>
        <c:crossAx val="8637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11995313133079"/>
          <c:y val="2.1178973941167009E-2"/>
          <c:w val="0.18588004686866921"/>
          <c:h val="0.94131156208980904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966087051618549"/>
          <c:y val="2.2449194532632586E-2"/>
          <c:w val="0.84000929571303584"/>
          <c:h val="0.852877458060215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контрактов, тыс. руб.</c:v>
                </c:pt>
              </c:strCache>
            </c:strRef>
          </c:tx>
          <c:dLbls>
            <c:dLbl>
              <c:idx val="0"/>
              <c:layout>
                <c:manualLayout>
                  <c:x val="-1.0936132985923361E-7"/>
                  <c:y val="-8.978800335316272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926E-3"/>
                  <c:y val="-8.65812889476927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413428810940201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666666666666683E-3"/>
                  <c:y val="-2.565371524376084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565371524376084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2658794.56</c:v>
                </c:pt>
                <c:pt idx="1">
                  <c:v>3796837.02</c:v>
                </c:pt>
                <c:pt idx="2">
                  <c:v>2318492.02</c:v>
                </c:pt>
                <c:pt idx="3">
                  <c:v>2107636.8899999997</c:v>
                </c:pt>
                <c:pt idx="4">
                  <c:v>1877961.84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0.1064297198707519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7222222222222224E-3"/>
                  <c:y val="-9.42663233140949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055555555555561E-2"/>
                  <c:y val="-8.51437758966014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833333333333405E-2"/>
                  <c:y val="-9.122547417493026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500000000000001E-2"/>
                  <c:y val="-8.818462503576583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159203.53</c:v>
                </c:pt>
                <c:pt idx="1">
                  <c:v>216768.37</c:v>
                </c:pt>
                <c:pt idx="2">
                  <c:v>100683.86</c:v>
                </c:pt>
                <c:pt idx="3">
                  <c:v>84398.42</c:v>
                </c:pt>
                <c:pt idx="4">
                  <c:v>131287.94999999998</c:v>
                </c:pt>
              </c:numCache>
            </c:numRef>
          </c:val>
        </c:ser>
        <c:shape val="box"/>
        <c:axId val="86436480"/>
        <c:axId val="101200256"/>
        <c:axId val="0"/>
      </c:bar3DChart>
      <c:catAx>
        <c:axId val="86436480"/>
        <c:scaling>
          <c:orientation val="minMax"/>
        </c:scaling>
        <c:axPos val="b"/>
        <c:numFmt formatCode="General" sourceLinked="1"/>
        <c:tickLblPos val="nextTo"/>
        <c:crossAx val="101200256"/>
        <c:crosses val="autoZero"/>
        <c:auto val="1"/>
        <c:lblAlgn val="ctr"/>
        <c:lblOffset val="100"/>
      </c:catAx>
      <c:valAx>
        <c:axId val="101200256"/>
        <c:scaling>
          <c:orientation val="minMax"/>
          <c:max val="4100000"/>
          <c:min val="0"/>
        </c:scaling>
        <c:axPos val="l"/>
        <c:majorGridlines/>
        <c:minorGridlines>
          <c:spPr>
            <a:ln>
              <a:noFill/>
            </a:ln>
          </c:spPr>
        </c:minorGridlines>
        <c:numFmt formatCode="#,##0.00" sourceLinked="1"/>
        <c:tickLblPos val="nextTo"/>
        <c:crossAx val="86436480"/>
        <c:crosses val="autoZero"/>
        <c:crossBetween val="between"/>
        <c:majorUnit val="820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11461067366751"/>
          <c:y val="3.7005964478892421E-2"/>
          <c:w val="0.32671872265966889"/>
          <c:h val="0.14315774020092514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0277777777777693E-2"/>
          <c:y val="0.23712722932534197"/>
          <c:w val="0.82407407407407585"/>
          <c:h val="0.6965080700790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дошкольных организаций</c:v>
                </c:pt>
              </c:strCache>
            </c:strRef>
          </c:tx>
          <c:explosion val="28"/>
          <c:dLbls>
            <c:dLbl>
              <c:idx val="3"/>
              <c:layout>
                <c:manualLayout>
                  <c:x val="7.5998978708243334E-2"/>
                  <c:y val="2.0631340479668921E-3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Отсутствует</a:t>
                    </a:r>
                    <a:r>
                      <a:rPr lang="ru-RU"/>
                      <a:t>
2%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50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Избыток</c:v>
                </c:pt>
                <c:pt idx="2">
                  <c:v>Мало</c:v>
                </c:pt>
                <c:pt idx="3">
                  <c:v>Отсутствует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0.59899999999999998</c:v>
                </c:pt>
                <c:pt idx="1">
                  <c:v>0.20200000000000001</c:v>
                </c:pt>
                <c:pt idx="2">
                  <c:v>0.17900000000000021</c:v>
                </c:pt>
                <c:pt idx="3">
                  <c:v>2.0000000000000011E-2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8.3333333333333343E-2"/>
          <c:y val="0.40668853893263407"/>
          <c:w val="0.82407407407407585"/>
          <c:h val="0.52288677061533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услуг дошкольного образования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ru-RU" sz="1400"/>
                      <a:t>6</a:t>
                    </a:r>
                    <a:r>
                      <a:rPr lang="en-US" sz="1400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/>
                      <a:t>3%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 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0.70600000000000063</c:v>
                </c:pt>
                <c:pt idx="1">
                  <c:v>0.18900000000000031</c:v>
                </c:pt>
                <c:pt idx="2">
                  <c:v>8.4000000000000047E-2</c:v>
                </c:pt>
                <c:pt idx="3">
                  <c:v>2.1000000000000012E-2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73094170403587"/>
          <c:y val="0.10176991150442465"/>
          <c:w val="0.40358744394618828"/>
          <c:h val="0.7964601769911504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предоставляющих услуги по перевозке пассажиров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Скорее удов.</c:v>
                </c:pt>
                <c:pt idx="1">
                  <c:v>Скорее не удов.</c:v>
                </c:pt>
                <c:pt idx="2">
                  <c:v>удов.</c:v>
                </c:pt>
                <c:pt idx="3">
                  <c:v>Не удов.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3.500000000000001E-2</c:v>
                </c:pt>
                <c:pt idx="1">
                  <c:v>0.16500000000000001</c:v>
                </c:pt>
                <c:pt idx="2" formatCode="0%">
                  <c:v>0.65000000000000147</c:v>
                </c:pt>
                <c:pt idx="3" formatCode="0%">
                  <c:v>0.14000000000000001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06442224381378"/>
          <c:y val="0.11596119741789036"/>
          <c:w val="0.19052147219248824"/>
          <c:h val="0.79052067815847593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 дополнительного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Избыток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0.60300000000000065</c:v>
                </c:pt>
                <c:pt idx="1">
                  <c:v>0.2490000000000003</c:v>
                </c:pt>
                <c:pt idx="2">
                  <c:v>0.13900000000000001</c:v>
                </c:pt>
                <c:pt idx="3">
                  <c:v>9.0000000000000028E-3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услуг дополнительного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 удовлетворительно</c:v>
                </c:pt>
                <c:pt idx="3">
                  <c:v>Не 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0.72700000000000065</c:v>
                </c:pt>
                <c:pt idx="1">
                  <c:v>0.17600000000000021</c:v>
                </c:pt>
                <c:pt idx="2">
                  <c:v>7.0999999999999994E-2</c:v>
                </c:pt>
                <c:pt idx="3">
                  <c:v>2.5999999999999999E-2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258907363420429E-2"/>
          <c:y val="3.8674033149171276E-2"/>
          <c:w val="0.78622327790973867"/>
          <c:h val="0.820441988950276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796177611931018E-3"/>
                  <c:y val="-4.35906366468775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11%</a:t>
                    </a:r>
                  </a:p>
                </c:rich>
              </c:tx>
            </c:dLbl>
            <c:dLbl>
              <c:idx val="1"/>
              <c:layout>
                <c:manualLayout>
                  <c:x val="-2.0473407545662382E-2"/>
                  <c:y val="-1.3004724486444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89%
</a:t>
                    </a:r>
                  </a:p>
                </c:rich>
              </c:tx>
            </c:dLbl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всего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19527555056392E-2"/>
                  <c:y val="-7.2482345735238304E-2"/>
                </c:manualLayout>
              </c:layout>
              <c:showVal val="1"/>
            </c:dLbl>
            <c:dLbl>
              <c:idx val="1"/>
              <c:layout>
                <c:manualLayout>
                  <c:x val="1.8696261299782548E-2"/>
                  <c:y val="-8.6770592920739048E-2"/>
                </c:manualLayout>
              </c:layout>
              <c:showVal val="1"/>
            </c:dLbl>
            <c:dLbl>
              <c:idx val="2"/>
              <c:layout>
                <c:manualLayout>
                  <c:x val="8.7826659216675013E-3"/>
                  <c:y val="-7.0879381227789001E-2"/>
                </c:manualLayout>
              </c:layout>
              <c:showVal val="1"/>
            </c:dLbl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всего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252</c:v>
                </c:pt>
                <c:pt idx="1">
                  <c:v>2012</c:v>
                </c:pt>
                <c:pt idx="2">
                  <c:v>2264</c:v>
                </c:pt>
              </c:numCache>
            </c:numRef>
          </c:val>
        </c:ser>
        <c:gapDepth val="0"/>
        <c:shape val="box"/>
        <c:axId val="74393472"/>
        <c:axId val="74395008"/>
        <c:axId val="0"/>
      </c:bar3DChart>
      <c:catAx>
        <c:axId val="7439347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395008"/>
        <c:crossesAt val="0"/>
        <c:auto val="1"/>
        <c:lblAlgn val="ctr"/>
        <c:lblOffset val="100"/>
        <c:tickLblSkip val="1"/>
        <c:tickMarkSkip val="1"/>
      </c:catAx>
      <c:valAx>
        <c:axId val="74395008"/>
        <c:scaling>
          <c:orientation val="minMax"/>
          <c:max val="2500"/>
          <c:min val="0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393472"/>
        <c:crosses val="autoZero"/>
        <c:crossBetween val="between"/>
        <c:majorUnit val="500"/>
        <c:minorUnit val="100"/>
      </c:valAx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84182349655272781"/>
          <c:y val="0.41988950276243192"/>
          <c:w val="0.12621503944660001"/>
          <c:h val="0.162983425414365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CAF2-61E9-436F-AC6A-E80F13DB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17428</Words>
  <Characters>99340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Krivobokova</dc:creator>
  <cp:keywords/>
  <dc:description/>
  <cp:lastModifiedBy>Gonchar</cp:lastModifiedBy>
  <cp:revision>24</cp:revision>
  <cp:lastPrinted>2017-02-11T14:16:00Z</cp:lastPrinted>
  <dcterms:created xsi:type="dcterms:W3CDTF">2017-02-10T12:01:00Z</dcterms:created>
  <dcterms:modified xsi:type="dcterms:W3CDTF">2017-02-16T12:01:00Z</dcterms:modified>
</cp:coreProperties>
</file>