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491EA0" w:rsidRPr="00491EA0" w:rsidRDefault="001D3B35" w:rsidP="00CD59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380F7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</w:t>
      </w:r>
      <w:r w:rsidR="00CF7F1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7)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380F7B" w:rsidRPr="00380F7B" w:rsidRDefault="00F2041A" w:rsidP="00380F7B">
      <w:pPr>
        <w:spacing w:before="225" w:after="2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hyperlink r:id="rId9" w:history="1">
          <w:r w:rsidR="008B14A8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>«</w:t>
          </w:r>
          <w:r w:rsidR="00D91777" w:rsidRP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>Проведение экспертно-аналитических мероприятий</w:t>
          </w:r>
          <w:r w:rsid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 xml:space="preserve"> К</w:t>
          </w:r>
          <w:r w:rsidR="00D91777" w:rsidRP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 xml:space="preserve">онтрольно-счётной палаты муниципального образования город </w:t>
          </w:r>
          <w:r w:rsid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>Новороссийск</w:t>
          </w:r>
          <w:r w:rsidR="00D91777" w:rsidRP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 xml:space="preserve"> и оформление их результатов</w:t>
          </w:r>
          <w:r w:rsid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>»</w:t>
          </w:r>
          <w:r w:rsidR="00D91777" w:rsidRPr="00D91777">
            <w:rPr>
              <w:rStyle w:val="a6"/>
              <w:rFonts w:ascii="Times New Roman" w:hAnsi="Times New Roman" w:cs="Times New Roman"/>
              <w:b/>
              <w:bCs/>
              <w:color w:val="auto"/>
              <w:sz w:val="28"/>
              <w:szCs w:val="28"/>
              <w:u w:val="none"/>
            </w:rPr>
            <w:t xml:space="preserve"> </w:t>
          </w:r>
        </w:hyperlink>
      </w:hyperlink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05301F" w:rsidRDefault="0005301F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05301F" w:rsidRDefault="0005301F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Содержание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1. Общие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п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оложения                                                                                                  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5E1F76">
        <w:rPr>
          <w:rFonts w:ascii="Times New Roman" w:hAnsi="Times New Roman" w:cs="Times New Roman"/>
          <w:color w:val="686467"/>
          <w:sz w:val="28"/>
          <w:szCs w:val="28"/>
        </w:rPr>
        <w:t>1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. 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>Общая характеристика экспертно-аналитического мероприятия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   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D12B72">
        <w:rPr>
          <w:rFonts w:ascii="Times New Roman" w:hAnsi="Times New Roman" w:cs="Times New Roman"/>
          <w:color w:val="686467"/>
          <w:sz w:val="28"/>
          <w:szCs w:val="28"/>
        </w:rPr>
        <w:t xml:space="preserve"> 2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3. 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Организация экспертно-аналитического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ероприятия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                    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D12B72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1479B">
        <w:rPr>
          <w:rFonts w:ascii="Times New Roman" w:hAnsi="Times New Roman" w:cs="Times New Roman"/>
          <w:color w:val="686467"/>
          <w:sz w:val="28"/>
          <w:szCs w:val="28"/>
        </w:rPr>
        <w:t>3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>4. Подготовка к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проведению экспертно-аналитического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мероприяти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>я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                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  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   </w:t>
      </w:r>
      <w:r w:rsidR="00A94D03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D12B72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5E1F76" w:rsidRPr="0005301F">
        <w:rPr>
          <w:rFonts w:ascii="Times New Roman" w:hAnsi="Times New Roman" w:cs="Times New Roman"/>
          <w:color w:val="686467"/>
          <w:sz w:val="28"/>
          <w:szCs w:val="28"/>
        </w:rPr>
        <w:t>5</w:t>
      </w:r>
    </w:p>
    <w:p w:rsidR="00721F10" w:rsidRPr="0005301F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5. Проведение 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>экспертно-аналитического мероприятия 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Pr="0005301F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 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 </w:t>
      </w:r>
      <w:r w:rsidR="00D12B72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1479B">
        <w:rPr>
          <w:rFonts w:ascii="Times New Roman" w:hAnsi="Times New Roman" w:cs="Times New Roman"/>
          <w:color w:val="686467"/>
          <w:sz w:val="28"/>
          <w:szCs w:val="28"/>
        </w:rPr>
        <w:t>5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6.Оформление результатов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экспертно-аналитического мероприятия                                                                                             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     </w:t>
      </w:r>
      <w:r w:rsidR="0005301F" w:rsidRPr="0005301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D12B72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05301F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5E1F76">
        <w:rPr>
          <w:rFonts w:ascii="Times New Roman" w:hAnsi="Times New Roman" w:cs="Times New Roman"/>
          <w:color w:val="686467"/>
          <w:sz w:val="28"/>
          <w:szCs w:val="28"/>
        </w:rPr>
        <w:t>6</w:t>
      </w:r>
    </w:p>
    <w:p w:rsidR="00721F10" w:rsidRPr="00721F10" w:rsidRDefault="00721F10" w:rsidP="000458D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0458D9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Default="008B14A8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0458D9" w:rsidRDefault="000458D9" w:rsidP="00F30778">
      <w:pPr>
        <w:spacing w:before="225" w:after="225"/>
        <w:ind w:firstLine="708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B14A8" w:rsidRPr="008B14A8" w:rsidRDefault="008B14A8" w:rsidP="00F30778">
      <w:pPr>
        <w:spacing w:before="225" w:after="225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1.Общие положения</w:t>
      </w:r>
    </w:p>
    <w:p w:rsidR="008B14A8" w:rsidRPr="008B14A8" w:rsidRDefault="00F30778" w:rsidP="00F3077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1.1. </w:t>
      </w:r>
      <w:proofErr w:type="gramStart"/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Стандарт внешнего муниципального финансового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онтроля     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СФККСП-07 «Проведение экспертно-аналитических мероприятий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и оформление их результатов» разработан в соответствии с Положением о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городской Думы от 2</w:t>
      </w:r>
      <w:r>
        <w:rPr>
          <w:rFonts w:ascii="Times New Roman" w:hAnsi="Times New Roman" w:cs="Times New Roman"/>
          <w:color w:val="686467"/>
          <w:sz w:val="28"/>
          <w:szCs w:val="28"/>
        </w:rPr>
        <w:t>5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декабря 2011 года №</w:t>
      </w:r>
      <w:r>
        <w:rPr>
          <w:rFonts w:ascii="Times New Roman" w:hAnsi="Times New Roman" w:cs="Times New Roman"/>
          <w:color w:val="686467"/>
          <w:sz w:val="28"/>
          <w:szCs w:val="28"/>
        </w:rPr>
        <w:t>141 (в действующей редакции)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, на основе положений Стандарта внешнего финансового контроля Счетной палаты Российской</w:t>
      </w:r>
      <w:proofErr w:type="gramEnd"/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Федерации СФК 102 </w:t>
      </w:r>
      <w:r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Проведение экспертно-аналитического мероприятия» и Стандарта внешнего государственного финансового контроля СФККСП-6 </w:t>
      </w:r>
      <w:r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Проведение  экспертно-аналитических мероприятий Контрольно-счётной палаты Краснодарского края и оформление их результатов (общие правила)”</w:t>
      </w:r>
    </w:p>
    <w:p w:rsidR="00F3077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1.2.Целью Стандарта является установление общих правил и процедур проведения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палатой муниципального образования город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экспертно-аналитических мероприятий.</w:t>
      </w:r>
    </w:p>
    <w:p w:rsidR="00F30778" w:rsidRDefault="008B14A8" w:rsidP="00F3077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1.3.Задачами Стандарта являются:</w:t>
      </w:r>
    </w:p>
    <w:p w:rsidR="00F30778" w:rsidRDefault="008B14A8" w:rsidP="00F3077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8B14A8" w:rsidRPr="008B14A8" w:rsidRDefault="008B14A8" w:rsidP="00F3077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- установление общих требований к организации, подготовке к проведению, проведению и оформлению результатов экспертно-аналитического мероприятия;</w:t>
      </w:r>
    </w:p>
    <w:p w:rsidR="008B14A8" w:rsidRPr="008B14A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1.4. Стандарт является обязательным для исполнения всеми сотрудниками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привлеченными специалистами и независимыми экспертами, участвующими в проведении экспертно-аналитических мероприятий и оформлении их результатов.</w:t>
      </w:r>
    </w:p>
    <w:p w:rsidR="008B14A8" w:rsidRPr="008B14A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1.5. Положения Стандарта не распространяются на подготовку заключений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в рамках предварительного, оперативного и последующего контроля местного бюджета, осуществление которого регулируется соответствующими стандартами и иными нормативными документами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8B14A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F30778" w:rsidRPr="008B14A8" w:rsidRDefault="00F3077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F30778" w:rsidRDefault="00F30778" w:rsidP="00F3077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2</w:t>
      </w:r>
    </w:p>
    <w:p w:rsidR="008B14A8" w:rsidRPr="008B14A8" w:rsidRDefault="008B14A8" w:rsidP="00F3077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Style w:val="a3"/>
          <w:rFonts w:ascii="Times New Roman" w:hAnsi="Times New Roman" w:cs="Times New Roman"/>
          <w:color w:val="686467"/>
          <w:sz w:val="28"/>
          <w:szCs w:val="28"/>
        </w:rPr>
        <w:t>2. Общая характеристика экспертно-аналитического мероприятия</w:t>
      </w:r>
    </w:p>
    <w:p w:rsidR="008B14A8" w:rsidRPr="008B14A8" w:rsidRDefault="008B14A8" w:rsidP="00F3077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2.1. 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палаты, посредством которой обеспечивается реализация задач, функций и полномочий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сфере внешнего муниципального финансового контроля.</w:t>
      </w:r>
    </w:p>
    <w:p w:rsidR="008B14A8" w:rsidRPr="008B14A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2.2.</w:t>
      </w:r>
      <w:r w:rsidR="0027163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gramStart"/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Предметом экспертно-аналитического мероприятия является 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 xml:space="preserve">финансово-экономическая экспертиза  </w:t>
      </w:r>
      <w:r w:rsidR="005B7900">
        <w:rPr>
          <w:rFonts w:ascii="Times New Roman" w:hAnsi="Times New Roman" w:cs="Times New Roman"/>
          <w:color w:val="686467"/>
          <w:sz w:val="28"/>
          <w:szCs w:val="28"/>
        </w:rPr>
        <w:t>проектов муниципальных правовых  актов</w:t>
      </w:r>
      <w:r w:rsidR="00E71B1B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="005B7900">
        <w:rPr>
          <w:rFonts w:ascii="Times New Roman" w:hAnsi="Times New Roman" w:cs="Times New Roman"/>
          <w:color w:val="686467"/>
          <w:sz w:val="28"/>
          <w:szCs w:val="28"/>
        </w:rPr>
        <w:t xml:space="preserve">включая  обоснованность  финансово-экономических обоснований) </w:t>
      </w:r>
      <w:r w:rsidR="0027163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5B7900">
        <w:rPr>
          <w:rFonts w:ascii="Times New Roman" w:hAnsi="Times New Roman" w:cs="Times New Roman"/>
          <w:color w:val="686467"/>
          <w:sz w:val="28"/>
          <w:szCs w:val="28"/>
        </w:rPr>
        <w:t xml:space="preserve">в части, </w:t>
      </w:r>
      <w:r w:rsidR="00F2041A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5B7900">
        <w:rPr>
          <w:rFonts w:ascii="Times New Roman" w:hAnsi="Times New Roman" w:cs="Times New Roman"/>
          <w:color w:val="686467"/>
          <w:sz w:val="28"/>
          <w:szCs w:val="28"/>
        </w:rPr>
        <w:t xml:space="preserve">касающейся расходных обязательств </w:t>
      </w:r>
      <w:r w:rsidR="00E71B1B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 город </w:t>
      </w:r>
      <w:r w:rsidR="0027163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E71B1B">
        <w:rPr>
          <w:rFonts w:ascii="Times New Roman" w:hAnsi="Times New Roman" w:cs="Times New Roman"/>
          <w:color w:val="686467"/>
          <w:sz w:val="28"/>
          <w:szCs w:val="28"/>
        </w:rPr>
        <w:t>Новороссийск, а так же муниципальных программ.</w:t>
      </w:r>
      <w:proofErr w:type="gramEnd"/>
      <w:r w:rsidR="00E71B1B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71639">
        <w:rPr>
          <w:rFonts w:ascii="Times New Roman" w:hAnsi="Times New Roman" w:cs="Times New Roman"/>
          <w:color w:val="686467"/>
          <w:sz w:val="28"/>
          <w:szCs w:val="28"/>
        </w:rPr>
        <w:t xml:space="preserve">Анализ 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организаци</w:t>
      </w:r>
      <w:r w:rsidR="00271639">
        <w:rPr>
          <w:rFonts w:ascii="Times New Roman" w:hAnsi="Times New Roman" w:cs="Times New Roman"/>
          <w:color w:val="686467"/>
          <w:sz w:val="28"/>
          <w:szCs w:val="28"/>
        </w:rPr>
        <w:t>и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бюджетного процесса, формирование и использование средств местного бюджета, а также деятельность в сфере экономики и финансов, в том числе влияющие на формирование и исполнение местного бюджета в рамках реализации задач </w:t>
      </w:r>
      <w:r w:rsidR="00F307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8B14A8" w:rsidRPr="008B14A8" w:rsidRDefault="008B14A8" w:rsidP="00F1542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 2.3. </w:t>
      </w:r>
      <w:proofErr w:type="gramStart"/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Объектами экспертно-аналитического мероприятия являются органы местного самоуправления, 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установленные Бюджетным кодексом Российской Федерации, Федеральным законом 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, Положением о 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и другими  нормативными правовыми актами Российской</w:t>
      </w:r>
      <w:proofErr w:type="gramEnd"/>
      <w:r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Федерации и Краснодарского края.</w:t>
      </w:r>
    </w:p>
    <w:p w:rsidR="008B14A8" w:rsidRPr="008B14A8" w:rsidRDefault="008B14A8" w:rsidP="00F15424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B14A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15424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8B14A8">
        <w:rPr>
          <w:rFonts w:ascii="Times New Roman" w:hAnsi="Times New Roman" w:cs="Times New Roman"/>
          <w:color w:val="686467"/>
          <w:sz w:val="28"/>
          <w:szCs w:val="28"/>
        </w:rPr>
        <w:t>2.4. Экспертно-аналитическое мероприятие должно быть:</w:t>
      </w:r>
    </w:p>
    <w:p w:rsidR="00F15424" w:rsidRDefault="00F15424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8B14A8" w:rsidRDefault="00F15424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5374D" w:rsidRDefault="0085374D" w:rsidP="00F15424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85374D" w:rsidRDefault="0085374D" w:rsidP="00F15424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85374D" w:rsidRPr="008B14A8" w:rsidRDefault="0085374D" w:rsidP="0085374D">
      <w:pPr>
        <w:spacing w:after="0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3</w:t>
      </w:r>
    </w:p>
    <w:p w:rsidR="008B14A8" w:rsidRPr="008B14A8" w:rsidRDefault="000458D9" w:rsidP="00045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proofErr w:type="gramStart"/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>результативным</w:t>
      </w:r>
      <w:proofErr w:type="gramEnd"/>
      <w:r w:rsidR="008B14A8" w:rsidRPr="008B14A8">
        <w:rPr>
          <w:rFonts w:ascii="Times New Roman" w:hAnsi="Times New Roman" w:cs="Times New Roman"/>
          <w:color w:val="686467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Style w:val="a3"/>
          <w:rFonts w:ascii="Times New Roman" w:hAnsi="Times New Roman" w:cs="Times New Roman"/>
          <w:color w:val="686467"/>
          <w:sz w:val="28"/>
          <w:szCs w:val="28"/>
        </w:rPr>
        <w:t>3. Организация экспертно-аналитического мероприятия</w:t>
      </w:r>
    </w:p>
    <w:p w:rsidR="008B14A8" w:rsidRPr="00556598" w:rsidRDefault="008B14A8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 3.1. Экспертно-аналитическое мероприятие проводится на основании плана работы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на текущий год, соответствующих обращений городской Думы, администрации муниципального образования город </w:t>
      </w:r>
      <w:r w:rsidR="00921DAC"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 или правоохранительных органов.</w:t>
      </w:r>
    </w:p>
    <w:p w:rsidR="008B14A8" w:rsidRPr="00556598" w:rsidRDefault="008B14A8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Датой начала экспертно-аналитического мероприятия является дата издания распоряжения председателя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о его проведении.</w:t>
      </w:r>
    </w:p>
    <w:p w:rsidR="008B14A8" w:rsidRPr="00556598" w:rsidRDefault="008B14A8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Датой окончания экспертно-аналитического мероприятия является дата подписания председателем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экспертного заключения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3.2. 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8B14A8" w:rsidRPr="00556598" w:rsidRDefault="008B14A8" w:rsidP="00556598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3.3. 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8B14A8" w:rsidRPr="00556598" w:rsidRDefault="008B14A8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- подготовка к проведению экспертно-аналитического мероприятия;</w:t>
      </w:r>
    </w:p>
    <w:p w:rsidR="00556598" w:rsidRPr="00556598" w:rsidRDefault="008B14A8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- проведение экспер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тно-аналитического мероприятия;</w:t>
      </w:r>
    </w:p>
    <w:p w:rsidR="008B14A8" w:rsidRPr="00556598" w:rsidRDefault="00B95E2F" w:rsidP="000458D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B14A8" w:rsidRPr="00556598">
        <w:rPr>
          <w:rFonts w:ascii="Times New Roman" w:hAnsi="Times New Roman" w:cs="Times New Roman"/>
          <w:color w:val="686467"/>
          <w:sz w:val="28"/>
          <w:szCs w:val="28"/>
        </w:rPr>
        <w:t>- оформление результатов экспертно-аналитического мероприятия.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3.4. 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</w:t>
      </w:r>
    </w:p>
    <w:p w:rsidR="008B14A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3.5.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мероприятия. Результаты данного этапа фиксируются в рабочей документации экспертно-аналитического мероприятия.</w:t>
      </w:r>
    </w:p>
    <w:p w:rsidR="0085374D" w:rsidRPr="00556598" w:rsidRDefault="0085374D" w:rsidP="0085374D">
      <w:pPr>
        <w:spacing w:before="225" w:after="225"/>
        <w:ind w:firstLine="708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4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3.6. На этапе оформления результатов экспертно-аналитического мероприятия осуществляется подготовка экспертного заключения.</w:t>
      </w:r>
    </w:p>
    <w:p w:rsidR="008B14A8" w:rsidRPr="0055659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3.7. Организацию экспертно-аналитического мероприятия, непосредственное руководство его проведением и координацию действий сотрудников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и лиц, привлекаемых к участию в проведении мероприятия, осуществляет председатель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или  заместитель председателя  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3.8. В случае если в ходе подготовки к проведению и проведения экспертно-аналитического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имеющие оформленный в установленном порядке допуск к таким сведениям.</w:t>
      </w:r>
    </w:p>
    <w:p w:rsidR="008B14A8" w:rsidRPr="0055659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3.9. Сотрудники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подписания председателем контрольно-счетной палаты экспертного заключения.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3.10.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и эксперты.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3.11. </w:t>
      </w:r>
      <w:proofErr w:type="gramStart"/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д.), подготовленные сотрудниками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самостоятельно на основе собранных фактических данных и информации.</w:t>
      </w:r>
      <w:proofErr w:type="gramEnd"/>
    </w:p>
    <w:p w:rsidR="0085374D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</w:t>
      </w:r>
    </w:p>
    <w:p w:rsidR="0085374D" w:rsidRDefault="0085374D" w:rsidP="0085374D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85374D" w:rsidRDefault="0085374D" w:rsidP="0085374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5</w:t>
      </w:r>
    </w:p>
    <w:p w:rsidR="008B14A8" w:rsidRPr="00556598" w:rsidRDefault="008B14A8" w:rsidP="0085374D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556598">
        <w:rPr>
          <w:rFonts w:ascii="Times New Roman" w:hAnsi="Times New Roman" w:cs="Times New Roman"/>
          <w:color w:val="686467"/>
          <w:sz w:val="28"/>
          <w:szCs w:val="28"/>
        </w:rPr>
        <w:t>отр</w:t>
      </w:r>
      <w:r w:rsidR="0085374D">
        <w:rPr>
          <w:rFonts w:ascii="Times New Roman" w:hAnsi="Times New Roman" w:cs="Times New Roman"/>
          <w:color w:val="686467"/>
          <w:sz w:val="28"/>
          <w:szCs w:val="28"/>
        </w:rPr>
        <w:t>а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жающем</w:t>
      </w:r>
      <w:proofErr w:type="gramEnd"/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 последовательность осуществления процедур подготовки к проведению и проведения мероприятия.</w:t>
      </w:r>
    </w:p>
    <w:p w:rsidR="008B14A8" w:rsidRPr="00556598" w:rsidRDefault="008B14A8" w:rsidP="00F30778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Style w:val="a3"/>
          <w:rFonts w:ascii="Times New Roman" w:hAnsi="Times New Roman" w:cs="Times New Roman"/>
          <w:color w:val="686467"/>
          <w:sz w:val="28"/>
          <w:szCs w:val="28"/>
        </w:rPr>
        <w:t>4. Подготовка к проведению экспертно-аналитического мероприятия</w:t>
      </w:r>
    </w:p>
    <w:p w:rsidR="008B14A8" w:rsidRPr="00556598" w:rsidRDefault="008B14A8" w:rsidP="00540F3E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4.1.  Подготовка к проведению экспертно-аналитического мероприятия включает осуществление следующих действий:</w:t>
      </w:r>
    </w:p>
    <w:p w:rsidR="008B14A8" w:rsidRPr="00556598" w:rsidRDefault="008B14A8" w:rsidP="00540F3E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- определение председателем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ответственного исполнителя экспертно-аналитического мероприятия и участников мероприятия;</w:t>
      </w:r>
    </w:p>
    <w:p w:rsidR="008B14A8" w:rsidRPr="00556598" w:rsidRDefault="008B14A8" w:rsidP="00540F3E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- предварительное изучение объектов и предметов экспертно-аналитического мероприятия;</w:t>
      </w:r>
    </w:p>
    <w:p w:rsidR="008B14A8" w:rsidRPr="00556598" w:rsidRDefault="008B14A8" w:rsidP="00540F3E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- подготовка при необходимости запросов объектам экспертно-аналитического мероприятия и другим организациям на предоставление документов, необходимых для проведения экспертно-аналитического мероприятия;</w:t>
      </w:r>
    </w:p>
    <w:p w:rsidR="008B14A8" w:rsidRPr="00556598" w:rsidRDefault="00556598" w:rsidP="00540F3E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8B14A8" w:rsidRPr="00556598">
        <w:rPr>
          <w:rFonts w:ascii="Times New Roman" w:hAnsi="Times New Roman" w:cs="Times New Roman"/>
          <w:color w:val="686467"/>
          <w:sz w:val="28"/>
          <w:szCs w:val="28"/>
        </w:rPr>
        <w:t> определение целей, вопросов и методов проведения экспертно-аналитического мероприятия.</w:t>
      </w:r>
    </w:p>
    <w:p w:rsid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Style w:val="a3"/>
          <w:rFonts w:ascii="Times New Roman" w:hAnsi="Times New Roman" w:cs="Times New Roman"/>
          <w:color w:val="686467"/>
          <w:sz w:val="28"/>
          <w:szCs w:val="28"/>
        </w:rPr>
        <w:t>5. Проведение экспертно-аналитического мероприятия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5.1. После завершения подготовительного этапа экспертно-аналитического мероприятия осуществляется аналитическое исследование фактических данных и полученной информации по предмету экспертно-аналитического мероприятия. 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</w:t>
      </w:r>
    </w:p>
    <w:p w:rsidR="008B14A8" w:rsidRPr="00556598" w:rsidRDefault="008B14A8" w:rsidP="0055659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5.2. В ходе проведения экспертно-аналитического мероприятия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палатой могут применяться аналитические методы сравнения, сопоставления и группировки.</w:t>
      </w:r>
    </w:p>
    <w:p w:rsidR="008B14A8" w:rsidRPr="0055659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       5.3. При проведении экспертно-аналитического мероприятия </w:t>
      </w:r>
      <w:r w:rsidR="00556598" w:rsidRPr="0055659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</w:t>
      </w:r>
      <w:r w:rsidR="00556598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 xml:space="preserve"> могут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 xml:space="preserve"> использ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>оваться</w:t>
      </w:r>
      <w:r w:rsidRPr="00556598">
        <w:rPr>
          <w:rFonts w:ascii="Times New Roman" w:hAnsi="Times New Roman" w:cs="Times New Roman"/>
          <w:color w:val="686467"/>
          <w:sz w:val="28"/>
          <w:szCs w:val="28"/>
        </w:rPr>
        <w:t>:</w:t>
      </w:r>
    </w:p>
    <w:p w:rsidR="008B14A8" w:rsidRPr="0055659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     - формальная и арифметическая проверка документов;</w:t>
      </w:r>
    </w:p>
    <w:p w:rsidR="008B14A8" w:rsidRPr="0055659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     - встречная проверка документов и (или) записей;</w:t>
      </w:r>
    </w:p>
    <w:p w:rsidR="008B14A8" w:rsidRPr="0055659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     - юридическая, экономическая и финансовая экспертиза документов;</w:t>
      </w:r>
    </w:p>
    <w:p w:rsidR="008B14A8" w:rsidRPr="0055659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     - приемы экономического анализа (горизонтального, вертикального, трендового, факторного и ретроспективного);</w:t>
      </w:r>
    </w:p>
    <w:p w:rsidR="008B14A8" w:rsidRDefault="008B14A8" w:rsidP="00556598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56598">
        <w:rPr>
          <w:rFonts w:ascii="Times New Roman" w:hAnsi="Times New Roman" w:cs="Times New Roman"/>
          <w:color w:val="686467"/>
          <w:sz w:val="28"/>
          <w:szCs w:val="28"/>
        </w:rPr>
        <w:t>      - технико-экономические расчёты.</w:t>
      </w:r>
    </w:p>
    <w:p w:rsidR="0085374D" w:rsidRPr="00556598" w:rsidRDefault="0085374D" w:rsidP="0085374D">
      <w:pPr>
        <w:spacing w:after="0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6</w:t>
      </w:r>
    </w:p>
    <w:p w:rsidR="00540F3E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5.4. При аналитической обработке имеющихся документов и материалов необходимо исходить из действующих в рассматриваемом периоде нормативных правовых актов Российской Федерации, Краснодарского края и муниципального образования город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в части, относящейся к предмету экспертно-аналитического мероприятия.</w:t>
      </w:r>
    </w:p>
    <w:p w:rsidR="008B14A8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5.5. По результатам проведения экспертно-аналитического мероприятия формируются выводы и предложения (рекомендации) 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8B14A8" w:rsidRPr="00540F3E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5.6. Все доказательства, выводы, предложения, излагаемые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палатой в экспертном заключении или отчете об экспертно-аналитическом мероприятии,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</w:t>
      </w:r>
    </w:p>
    <w:p w:rsidR="00540F3E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Style w:val="a3"/>
          <w:rFonts w:ascii="Times New Roman" w:hAnsi="Times New Roman" w:cs="Times New Roman"/>
          <w:color w:val="686467"/>
          <w:sz w:val="28"/>
          <w:szCs w:val="28"/>
        </w:rPr>
        <w:t>6. Оформление результатов экспертно-аналитического мероприятия</w:t>
      </w:r>
    </w:p>
    <w:p w:rsidR="008B14A8" w:rsidRPr="00540F3E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6.1. На заключительном этапе экспертно-аналитического мероприятия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подготавливаются:</w:t>
      </w:r>
    </w:p>
    <w:p w:rsidR="008B14A8" w:rsidRPr="00540F3E" w:rsidRDefault="008B14A8" w:rsidP="0081479B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      - по вопросам внешнего муниципального финансового контроля установленные для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  федеральными и краевыми законами –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аключение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палаты;</w:t>
      </w:r>
    </w:p>
    <w:p w:rsidR="00540F3E" w:rsidRPr="00540F3E" w:rsidRDefault="008B14A8" w:rsidP="0081479B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      - по другим вопросам – экспертное мнение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, оформленное Заключением.</w:t>
      </w:r>
    </w:p>
    <w:p w:rsidR="0081479B" w:rsidRDefault="0081479B" w:rsidP="00540F3E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8B14A8" w:rsidRPr="00540F3E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6.2. Заключение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результатам экспертно-аналитического мероприятия, как правило, должн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>о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 состоять из трёх разделов:</w:t>
      </w:r>
    </w:p>
    <w:p w:rsidR="008B14A8" w:rsidRPr="00540F3E" w:rsidRDefault="008B14A8" w:rsidP="00540F3E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>           -  Общие положения.</w:t>
      </w:r>
    </w:p>
    <w:p w:rsidR="008B14A8" w:rsidRPr="00540F3E" w:rsidRDefault="008B14A8" w:rsidP="00540F3E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 - Результаты экспертно-аналитического мероприятия 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палаты.</w:t>
      </w:r>
    </w:p>
    <w:p w:rsidR="008B14A8" w:rsidRPr="00540F3E" w:rsidRDefault="008B14A8" w:rsidP="00540F3E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 - Выводы и предложения </w:t>
      </w:r>
      <w:r w:rsidR="00540F3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результатам экспертно-аналитического мероприятия.</w:t>
      </w:r>
    </w:p>
    <w:p w:rsidR="0085374D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6.3. Раздел 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>Общие положения</w:t>
      </w:r>
      <w:r w:rsidR="00540F3E" w:rsidRPr="00540F3E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540F3E">
        <w:rPr>
          <w:rFonts w:ascii="Times New Roman" w:hAnsi="Times New Roman" w:cs="Times New Roman"/>
          <w:color w:val="686467"/>
          <w:sz w:val="28"/>
          <w:szCs w:val="28"/>
        </w:rPr>
        <w:t xml:space="preserve"> содержит исходные данные об экспертно-аналитическом мероприятии: основание, цели, задачи, объекты, </w:t>
      </w:r>
    </w:p>
    <w:p w:rsidR="0081479B" w:rsidRDefault="0081479B" w:rsidP="0085374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85374D" w:rsidRDefault="0085374D" w:rsidP="0085374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7</w:t>
      </w:r>
    </w:p>
    <w:p w:rsidR="008B14A8" w:rsidRPr="00540F3E" w:rsidRDefault="008B14A8" w:rsidP="0085374D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540F3E">
        <w:rPr>
          <w:rFonts w:ascii="Times New Roman" w:hAnsi="Times New Roman" w:cs="Times New Roman"/>
          <w:color w:val="686467"/>
          <w:sz w:val="28"/>
          <w:szCs w:val="28"/>
        </w:rPr>
        <w:t>предметы, исследуемый период, даты начала и окончания экспертно-аналитического мероприятия.</w:t>
      </w:r>
    </w:p>
    <w:p w:rsidR="008B14A8" w:rsidRPr="0085374D" w:rsidRDefault="008B14A8" w:rsidP="00540F3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6.4. Раздел </w:t>
      </w:r>
      <w:r w:rsidR="00540F3E" w:rsidRPr="0085374D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Результаты экспертно-аналитического мероприятия </w:t>
      </w:r>
      <w:r w:rsidR="00540F3E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</w:t>
      </w:r>
      <w:r w:rsidR="00540F3E" w:rsidRPr="0085374D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содержит описание проведенного анализа, мониторинга, оценки и экспертизы в соответствии с поставленными целями и предметом мероприятия, ответы на вопросы мероприятия, выявленные проблемы, причины их возникновения и последствия для бюджетной системы муниципального образования город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и муниципальной собственности.</w:t>
      </w:r>
    </w:p>
    <w:p w:rsidR="008B14A8" w:rsidRPr="0085374D" w:rsidRDefault="008B14A8" w:rsidP="0085374D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6.5. Раздел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Выводы и предложения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результатам экспертно-аналитического мероприятия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» 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содержит обобщённые итоговые оценки вопросов и проблем, установленные экспертно-аналитическим мероприятием, предлагаемые меры по их устранению.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6.6. При подготовке </w:t>
      </w:r>
      <w:r w:rsid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необходимо руководствоваться следующими требованиями: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- содержание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За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ключения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должно соответствовать целям и задачам экспертно-аналитического мероприятия;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>- 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аключение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должно содержать только ту информацию и выводы, которые подтверждаются соответствующей  рабочей документацией;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- информация в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аключени</w:t>
      </w:r>
      <w:proofErr w:type="gramStart"/>
      <w:r w:rsidRPr="0085374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должна излагаться последовательно, в соответствии с тяжестью негативных последствий установленных нарушений;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- текст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или отчёта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должен быть написан лаконично, легко читаться и быть понятным;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- использование в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аключени</w:t>
      </w:r>
      <w:proofErr w:type="gramStart"/>
      <w:r w:rsidRPr="0085374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E1365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8B14A8" w:rsidRPr="0085374D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- в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аключени</w:t>
      </w:r>
      <w:proofErr w:type="gramStart"/>
      <w:r w:rsidRPr="0085374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необходимо избегать ненужных повторений и лишних подробностей, которые отвлекают внимание читателя от наиболее важных положений отчета или  заключения;</w:t>
      </w:r>
    </w:p>
    <w:p w:rsidR="008B14A8" w:rsidRDefault="008B14A8" w:rsidP="0081479B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>- обобщенные выводы и рекомендации, отражённые в заключени</w:t>
      </w:r>
      <w:proofErr w:type="gramStart"/>
      <w:r w:rsidRPr="0085374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палаты, </w:t>
      </w:r>
      <w:r w:rsidR="00F2041A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bookmarkStart w:id="0" w:name="_GoBack"/>
      <w:bookmarkEnd w:id="0"/>
      <w:r w:rsidRPr="0085374D">
        <w:rPr>
          <w:rFonts w:ascii="Times New Roman" w:hAnsi="Times New Roman" w:cs="Times New Roman"/>
          <w:color w:val="686467"/>
          <w:sz w:val="28"/>
          <w:szCs w:val="28"/>
        </w:rPr>
        <w:t>должны быть аргументированными и логически следовать из указанных в них нарушений, быть конкретными, сжатыми и простыми по форме и содержанию</w:t>
      </w:r>
      <w:r w:rsidR="0085374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81479B" w:rsidRDefault="0081479B" w:rsidP="0081479B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81479B" w:rsidRPr="00921DAC" w:rsidRDefault="0081479B" w:rsidP="0081479B">
      <w:pPr>
        <w:spacing w:after="0"/>
        <w:jc w:val="center"/>
        <w:rPr>
          <w:rFonts w:ascii="Times New Roman" w:hAnsi="Times New Roman" w:cs="Times New Roman"/>
          <w:color w:val="686467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8</w:t>
      </w:r>
    </w:p>
    <w:p w:rsidR="00A94D03" w:rsidRDefault="008B14A8" w:rsidP="0085374D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6.7. При подготовке экспертного мнения </w:t>
      </w:r>
      <w:r w:rsidR="002E1365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могут использоваться структура и требования, предъявляемые к </w:t>
      </w:r>
      <w:r w:rsidR="0085374D" w:rsidRPr="0085374D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аключению </w:t>
      </w:r>
      <w:r w:rsidR="002E1365" w:rsidRPr="0085374D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85374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результатам экспертно-аналитического мероприятия. </w:t>
      </w: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5073"/>
        <w:gridCol w:w="1457"/>
        <w:gridCol w:w="1717"/>
      </w:tblGrid>
      <w:tr w:rsidR="00D91777" w:rsidTr="008B14A8">
        <w:trPr>
          <w:jc w:val="center"/>
        </w:trPr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</w:p>
        </w:tc>
        <w:tc>
          <w:tcPr>
            <w:tcW w:w="5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</w:tr>
      <w:tr w:rsidR="00D91777" w:rsidTr="008B14A8">
        <w:trPr>
          <w:jc w:val="center"/>
        </w:trPr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  <w:tc>
          <w:tcPr>
            <w:tcW w:w="5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spacing w:before="225" w:after="225"/>
              <w:rPr>
                <w:rFonts w:ascii="Helvetica" w:hAnsi="Helvetica" w:cs="Helvetica"/>
                <w:color w:val="6864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86467"/>
                <w:sz w:val="18"/>
                <w:szCs w:val="18"/>
              </w:rPr>
              <w:t> </w:t>
            </w:r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777" w:rsidRDefault="00D91777">
            <w:pPr>
              <w:rPr>
                <w:rFonts w:ascii="Helvetica" w:hAnsi="Helvetica" w:cs="Helvetica"/>
                <w:color w:val="484848"/>
                <w:sz w:val="18"/>
                <w:szCs w:val="18"/>
              </w:rPr>
            </w:pPr>
          </w:p>
        </w:tc>
      </w:tr>
    </w:tbl>
    <w:p w:rsidR="00D91777" w:rsidRDefault="00D91777" w:rsidP="00D91777">
      <w:pPr>
        <w:spacing w:before="225" w:after="225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380F7B" w:rsidRDefault="00380F7B" w:rsidP="00380F7B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837"/>
        <w:gridCol w:w="2307"/>
      </w:tblGrid>
      <w:tr w:rsidR="00380F7B" w:rsidTr="0085374D">
        <w:trPr>
          <w:jc w:val="center"/>
        </w:trPr>
        <w:tc>
          <w:tcPr>
            <w:tcW w:w="13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F7B" w:rsidRDefault="00380F7B">
            <w:pPr>
              <w:spacing w:before="225" w:after="225"/>
              <w:jc w:val="center"/>
              <w:rPr>
                <w:rFonts w:ascii="Helvetica" w:hAnsi="Helvetica" w:cs="Helvetica"/>
                <w:color w:val="686467"/>
                <w:sz w:val="18"/>
                <w:szCs w:val="18"/>
              </w:rPr>
            </w:pPr>
          </w:p>
        </w:tc>
        <w:tc>
          <w:tcPr>
            <w:tcW w:w="58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F7B" w:rsidRDefault="00380F7B">
            <w:pPr>
              <w:spacing w:before="225" w:after="225"/>
              <w:jc w:val="center"/>
              <w:rPr>
                <w:rFonts w:ascii="Helvetica" w:hAnsi="Helvetica" w:cs="Helvetica"/>
                <w:color w:val="686467"/>
                <w:sz w:val="18"/>
                <w:szCs w:val="18"/>
              </w:rPr>
            </w:pPr>
          </w:p>
        </w:tc>
        <w:tc>
          <w:tcPr>
            <w:tcW w:w="2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F7B" w:rsidRDefault="00380F7B">
            <w:pPr>
              <w:spacing w:before="225" w:after="225"/>
              <w:jc w:val="center"/>
              <w:rPr>
                <w:rFonts w:ascii="Helvetica" w:hAnsi="Helvetica" w:cs="Helvetica"/>
                <w:color w:val="686467"/>
                <w:sz w:val="18"/>
                <w:szCs w:val="18"/>
              </w:rPr>
            </w:pPr>
          </w:p>
        </w:tc>
      </w:tr>
    </w:tbl>
    <w:p w:rsidR="00721F10" w:rsidRDefault="00721F10" w:rsidP="00A94D03">
      <w:pPr>
        <w:pStyle w:val="z-"/>
        <w:jc w:val="both"/>
      </w:pPr>
      <w:r>
        <w:t>Начало формы</w:t>
      </w:r>
    </w:p>
    <w:p w:rsidR="00721F10" w:rsidRDefault="00F2041A" w:rsidP="00A94D03">
      <w:pPr>
        <w:numPr>
          <w:ilvl w:val="0"/>
          <w:numId w:val="12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Helvetica" w:hAnsi="Helvetica" w:cs="Helvetica"/>
          <w:caps/>
          <w:vanish/>
          <w:color w:val="4F4F4F"/>
          <w:sz w:val="17"/>
          <w:szCs w:val="17"/>
        </w:rPr>
      </w:pPr>
      <w:hyperlink r:id="rId10" w:anchor="ja-content" w:tooltip="Skip to content" w:history="1">
        <w:r w:rsidR="00721F10">
          <w:rPr>
            <w:rFonts w:ascii="Helvetica" w:hAnsi="Helvetica" w:cs="Helvetica"/>
            <w:caps/>
            <w:vanish/>
            <w:color w:val="8996A2"/>
            <w:sz w:val="17"/>
            <w:szCs w:val="17"/>
          </w:rPr>
          <w:t>Skip to content</w:t>
        </w:r>
      </w:hyperlink>
    </w:p>
    <w:sectPr w:rsidR="007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1"/>
    <w:multiLevelType w:val="multilevel"/>
    <w:tmpl w:val="4A0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999"/>
    <w:multiLevelType w:val="multilevel"/>
    <w:tmpl w:val="4EA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717"/>
    <w:multiLevelType w:val="multilevel"/>
    <w:tmpl w:val="B5F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40C7"/>
    <w:multiLevelType w:val="multilevel"/>
    <w:tmpl w:val="96B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977A2"/>
    <w:multiLevelType w:val="multilevel"/>
    <w:tmpl w:val="A54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A22E4"/>
    <w:multiLevelType w:val="multilevel"/>
    <w:tmpl w:val="6A6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C2E5A"/>
    <w:multiLevelType w:val="multilevel"/>
    <w:tmpl w:val="F32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43CF5"/>
    <w:multiLevelType w:val="multilevel"/>
    <w:tmpl w:val="83F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20"/>
  </w:num>
  <w:num w:numId="10">
    <w:abstractNumId w:val="4"/>
  </w:num>
  <w:num w:numId="11">
    <w:abstractNumId w:val="13"/>
  </w:num>
  <w:num w:numId="12">
    <w:abstractNumId w:val="18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458D9"/>
    <w:rsid w:val="0005301F"/>
    <w:rsid w:val="000877C6"/>
    <w:rsid w:val="00093A1E"/>
    <w:rsid w:val="000B03F9"/>
    <w:rsid w:val="000B1610"/>
    <w:rsid w:val="000E6536"/>
    <w:rsid w:val="00126F83"/>
    <w:rsid w:val="00132D3D"/>
    <w:rsid w:val="001C5DDF"/>
    <w:rsid w:val="001D3B35"/>
    <w:rsid w:val="00226208"/>
    <w:rsid w:val="0026457B"/>
    <w:rsid w:val="00271639"/>
    <w:rsid w:val="00276EB6"/>
    <w:rsid w:val="002B0E1F"/>
    <w:rsid w:val="002C6187"/>
    <w:rsid w:val="002D4E55"/>
    <w:rsid w:val="002E1365"/>
    <w:rsid w:val="002E3DB4"/>
    <w:rsid w:val="00380F7B"/>
    <w:rsid w:val="003B1A0E"/>
    <w:rsid w:val="003C2CFA"/>
    <w:rsid w:val="003C3F78"/>
    <w:rsid w:val="004054D8"/>
    <w:rsid w:val="00481B59"/>
    <w:rsid w:val="00485484"/>
    <w:rsid w:val="00491EA0"/>
    <w:rsid w:val="00531C97"/>
    <w:rsid w:val="005324DF"/>
    <w:rsid w:val="00540F3E"/>
    <w:rsid w:val="00556598"/>
    <w:rsid w:val="005B7900"/>
    <w:rsid w:val="005E1F76"/>
    <w:rsid w:val="005F2593"/>
    <w:rsid w:val="00650E18"/>
    <w:rsid w:val="0066017D"/>
    <w:rsid w:val="00686995"/>
    <w:rsid w:val="006D6560"/>
    <w:rsid w:val="00721607"/>
    <w:rsid w:val="00721F10"/>
    <w:rsid w:val="00731AB0"/>
    <w:rsid w:val="007A210D"/>
    <w:rsid w:val="00804068"/>
    <w:rsid w:val="0081479B"/>
    <w:rsid w:val="0085374D"/>
    <w:rsid w:val="0087770C"/>
    <w:rsid w:val="008A6052"/>
    <w:rsid w:val="008B14A8"/>
    <w:rsid w:val="008D458A"/>
    <w:rsid w:val="00921DAC"/>
    <w:rsid w:val="00946768"/>
    <w:rsid w:val="00974557"/>
    <w:rsid w:val="009E1A83"/>
    <w:rsid w:val="00A153A6"/>
    <w:rsid w:val="00A17736"/>
    <w:rsid w:val="00A75897"/>
    <w:rsid w:val="00A82401"/>
    <w:rsid w:val="00A91A36"/>
    <w:rsid w:val="00A94D03"/>
    <w:rsid w:val="00AF1302"/>
    <w:rsid w:val="00B95E2F"/>
    <w:rsid w:val="00B95FD4"/>
    <w:rsid w:val="00BC2321"/>
    <w:rsid w:val="00BD53F7"/>
    <w:rsid w:val="00C00B10"/>
    <w:rsid w:val="00CD5982"/>
    <w:rsid w:val="00CF7F12"/>
    <w:rsid w:val="00D12B72"/>
    <w:rsid w:val="00D13EC5"/>
    <w:rsid w:val="00D7453F"/>
    <w:rsid w:val="00D91777"/>
    <w:rsid w:val="00E06103"/>
    <w:rsid w:val="00E06CAE"/>
    <w:rsid w:val="00E21FA0"/>
    <w:rsid w:val="00E40E63"/>
    <w:rsid w:val="00E71B1B"/>
    <w:rsid w:val="00ED190E"/>
    <w:rsid w:val="00F00C71"/>
    <w:rsid w:val="00F15424"/>
    <w:rsid w:val="00F2041A"/>
    <w:rsid w:val="00F30778"/>
    <w:rsid w:val="00F44660"/>
    <w:rsid w:val="00F5052A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946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39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265281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96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7607577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7405129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1271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15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30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8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913560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5987507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9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sp.armduma.ru/index.php/normativnaya-pravovaya-baza/standarty/24-obshchie-pravila-provedeniya-kontrolnogo-meropriyat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857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C5C3-EFAA-4259-9D4C-9154C76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14</cp:revision>
  <cp:lastPrinted>2013-06-25T13:09:00Z</cp:lastPrinted>
  <dcterms:created xsi:type="dcterms:W3CDTF">2013-06-24T07:05:00Z</dcterms:created>
  <dcterms:modified xsi:type="dcterms:W3CDTF">2013-06-25T13:12:00Z</dcterms:modified>
</cp:coreProperties>
</file>