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126" w:rsidRPr="00544126" w:rsidRDefault="007A29BF" w:rsidP="00544126">
      <w:pPr>
        <w:jc w:val="center"/>
        <w:rPr>
          <w:rFonts w:ascii="Times New Roman" w:hAnsi="Times New Roman"/>
          <w:b/>
          <w:bCs/>
          <w:sz w:val="28"/>
          <w:szCs w:val="28"/>
        </w:rPr>
      </w:pPr>
      <w:r w:rsidRPr="007A29BF">
        <w:rPr>
          <w:rFonts w:ascii="Times New Roman" w:eastAsia="Times New Roman" w:hAnsi="Times New Roman"/>
          <w:b/>
          <w:bCs/>
          <w:sz w:val="28"/>
          <w:szCs w:val="28"/>
          <w:lang w:eastAsia="ru-RU"/>
        </w:rPr>
        <w:t>ООО «ИК «Кубаньстройреализация»</w:t>
      </w:r>
    </w:p>
    <w:p w:rsidR="000844F6" w:rsidRDefault="00646A04" w:rsidP="009C2CEF">
      <w:pPr>
        <w:spacing w:after="0" w:line="240" w:lineRule="auto"/>
        <w:jc w:val="center"/>
        <w:rPr>
          <w:rFonts w:ascii="Times New Roman" w:hAnsi="Times New Roman"/>
          <w:b/>
          <w:bCs/>
          <w:sz w:val="28"/>
          <w:szCs w:val="28"/>
        </w:rPr>
      </w:pPr>
      <w:r w:rsidRPr="00646A04">
        <w:rPr>
          <w:rFonts w:ascii="Times New Roman" w:eastAsia="Times New Roman" w:hAnsi="Times New Roman"/>
          <w:b/>
          <w:bCs/>
          <w:sz w:val="28"/>
          <w:szCs w:val="28"/>
          <w:lang w:eastAsia="ru-RU"/>
        </w:rPr>
        <w:t>(</w:t>
      </w:r>
      <w:r w:rsidR="007A29BF">
        <w:rPr>
          <w:rFonts w:ascii="Times New Roman" w:eastAsia="Times New Roman" w:hAnsi="Times New Roman"/>
          <w:b/>
          <w:bCs/>
          <w:sz w:val="28"/>
          <w:szCs w:val="28"/>
          <w:lang w:eastAsia="ru-RU"/>
        </w:rPr>
        <w:t>п</w:t>
      </w:r>
      <w:r w:rsidR="007A29BF" w:rsidRPr="007A29BF">
        <w:rPr>
          <w:rFonts w:ascii="Times New Roman" w:eastAsia="Times New Roman" w:hAnsi="Times New Roman"/>
          <w:b/>
          <w:bCs/>
          <w:sz w:val="28"/>
          <w:szCs w:val="28"/>
          <w:lang w:eastAsia="ru-RU"/>
        </w:rPr>
        <w:t>раво требования о привлечении к субсидиарной ответственности</w:t>
      </w:r>
      <w:r w:rsidRPr="00646A04">
        <w:rPr>
          <w:rFonts w:ascii="Times New Roman" w:eastAsia="Times New Roman" w:hAnsi="Times New Roman"/>
          <w:b/>
          <w:bCs/>
          <w:sz w:val="28"/>
          <w:szCs w:val="28"/>
          <w:lang w:eastAsia="ru-RU"/>
        </w:rPr>
        <w:t>)</w:t>
      </w:r>
    </w:p>
    <w:p w:rsidR="00276FC7" w:rsidRDefault="00276FC7" w:rsidP="009C2CEF">
      <w:pPr>
        <w:spacing w:after="0" w:line="240" w:lineRule="auto"/>
        <w:jc w:val="center"/>
        <w:rPr>
          <w:rFonts w:ascii="Times New Roman" w:hAnsi="Times New Roman"/>
          <w:sz w:val="28"/>
          <w:szCs w:val="28"/>
        </w:rPr>
      </w:pPr>
      <w:r w:rsidRPr="00276FC7">
        <w:rPr>
          <w:rFonts w:ascii="Times New Roman" w:hAnsi="Times New Roman"/>
          <w:sz w:val="28"/>
          <w:szCs w:val="28"/>
        </w:rPr>
        <w:t>Информация о проведении торгов по продаже имущества и имущественных комплексов предприятий г. Новороссийска, признанных несостоятельными (банкротами)</w:t>
      </w:r>
    </w:p>
    <w:p w:rsidR="00646A04" w:rsidRPr="00276FC7" w:rsidRDefault="00646A04" w:rsidP="009C2CEF">
      <w:pPr>
        <w:spacing w:after="0" w:line="240" w:lineRule="auto"/>
        <w:jc w:val="center"/>
        <w:rPr>
          <w:rFonts w:ascii="Times New Roman" w:hAnsi="Times New Roman"/>
          <w:sz w:val="28"/>
          <w:szCs w:val="28"/>
        </w:rPr>
      </w:pPr>
    </w:p>
    <w:tbl>
      <w:tblPr>
        <w:tblW w:w="158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957"/>
        <w:gridCol w:w="1842"/>
        <w:gridCol w:w="1985"/>
        <w:gridCol w:w="1701"/>
        <w:gridCol w:w="1417"/>
        <w:gridCol w:w="2694"/>
        <w:gridCol w:w="2127"/>
        <w:gridCol w:w="1701"/>
      </w:tblGrid>
      <w:tr w:rsidR="00965958" w:rsidRPr="006F7B51" w:rsidTr="007A29BF">
        <w:trPr>
          <w:trHeight w:val="1661"/>
        </w:trPr>
        <w:tc>
          <w:tcPr>
            <w:tcW w:w="454" w:type="dxa"/>
          </w:tcPr>
          <w:p w:rsidR="00965958" w:rsidRPr="001A2D3F" w:rsidRDefault="00965958" w:rsidP="00B90CBC">
            <w:pPr>
              <w:spacing w:after="0" w:line="240" w:lineRule="exact"/>
              <w:rPr>
                <w:rFonts w:ascii="Times New Roman" w:hAnsi="Times New Roman"/>
                <w:b/>
                <w:sz w:val="24"/>
                <w:szCs w:val="24"/>
              </w:rPr>
            </w:pPr>
            <w:r w:rsidRPr="001A2D3F">
              <w:rPr>
                <w:rFonts w:ascii="Times New Roman" w:hAnsi="Times New Roman"/>
                <w:b/>
                <w:sz w:val="24"/>
                <w:szCs w:val="24"/>
              </w:rPr>
              <w:t>п/п</w:t>
            </w:r>
          </w:p>
        </w:tc>
        <w:tc>
          <w:tcPr>
            <w:tcW w:w="1957" w:type="dxa"/>
          </w:tcPr>
          <w:p w:rsidR="00965958" w:rsidRPr="001A2D3F" w:rsidRDefault="00965958" w:rsidP="00B90CBC">
            <w:pPr>
              <w:spacing w:after="0" w:line="240" w:lineRule="exact"/>
              <w:jc w:val="center"/>
              <w:rPr>
                <w:rFonts w:ascii="Times New Roman" w:hAnsi="Times New Roman"/>
                <w:b/>
                <w:sz w:val="24"/>
                <w:szCs w:val="24"/>
              </w:rPr>
            </w:pPr>
            <w:r w:rsidRPr="001A2D3F">
              <w:rPr>
                <w:rFonts w:ascii="Times New Roman" w:hAnsi="Times New Roman"/>
                <w:b/>
                <w:sz w:val="24"/>
                <w:szCs w:val="24"/>
              </w:rPr>
              <w:t>Наименование предприятия</w:t>
            </w:r>
          </w:p>
        </w:tc>
        <w:tc>
          <w:tcPr>
            <w:tcW w:w="1842" w:type="dxa"/>
          </w:tcPr>
          <w:p w:rsidR="00965958" w:rsidRPr="001A2D3F" w:rsidRDefault="00965958" w:rsidP="00B90CBC">
            <w:pPr>
              <w:spacing w:after="0" w:line="240" w:lineRule="exact"/>
              <w:rPr>
                <w:rFonts w:ascii="Times New Roman" w:hAnsi="Times New Roman"/>
                <w:b/>
                <w:sz w:val="24"/>
                <w:szCs w:val="24"/>
              </w:rPr>
            </w:pPr>
            <w:r w:rsidRPr="001A2D3F">
              <w:rPr>
                <w:rFonts w:ascii="Times New Roman" w:hAnsi="Times New Roman"/>
                <w:b/>
                <w:sz w:val="24"/>
                <w:szCs w:val="24"/>
              </w:rPr>
              <w:t>Арбитражный управляющий</w:t>
            </w:r>
          </w:p>
          <w:p w:rsidR="00965958" w:rsidRPr="001A2D3F" w:rsidRDefault="00965958" w:rsidP="00B90CBC">
            <w:pPr>
              <w:spacing w:after="0" w:line="240" w:lineRule="exact"/>
              <w:jc w:val="center"/>
              <w:rPr>
                <w:rFonts w:ascii="Times New Roman" w:hAnsi="Times New Roman"/>
                <w:b/>
                <w:sz w:val="24"/>
                <w:szCs w:val="24"/>
              </w:rPr>
            </w:pPr>
          </w:p>
        </w:tc>
        <w:tc>
          <w:tcPr>
            <w:tcW w:w="1985" w:type="dxa"/>
          </w:tcPr>
          <w:p w:rsidR="00965958" w:rsidRPr="001A2D3F" w:rsidRDefault="00965958" w:rsidP="00B90CBC">
            <w:pPr>
              <w:spacing w:after="0" w:line="240" w:lineRule="exact"/>
              <w:jc w:val="center"/>
              <w:rPr>
                <w:rFonts w:ascii="Times New Roman" w:hAnsi="Times New Roman"/>
                <w:b/>
                <w:sz w:val="24"/>
                <w:szCs w:val="24"/>
              </w:rPr>
            </w:pPr>
            <w:r w:rsidRPr="001A2D3F">
              <w:rPr>
                <w:rFonts w:ascii="Times New Roman" w:hAnsi="Times New Roman"/>
                <w:b/>
                <w:sz w:val="24"/>
                <w:szCs w:val="24"/>
              </w:rPr>
              <w:t>Организатор торгов</w:t>
            </w:r>
          </w:p>
          <w:p w:rsidR="00965958" w:rsidRPr="001A2D3F" w:rsidRDefault="00965958" w:rsidP="00B90CBC">
            <w:pPr>
              <w:spacing w:after="0" w:line="240" w:lineRule="exact"/>
              <w:jc w:val="center"/>
              <w:rPr>
                <w:rFonts w:ascii="Times New Roman" w:hAnsi="Times New Roman"/>
                <w:b/>
                <w:sz w:val="24"/>
                <w:szCs w:val="24"/>
              </w:rPr>
            </w:pPr>
          </w:p>
        </w:tc>
        <w:tc>
          <w:tcPr>
            <w:tcW w:w="1701" w:type="dxa"/>
          </w:tcPr>
          <w:p w:rsidR="00965958" w:rsidRPr="001A2D3F" w:rsidRDefault="00965958" w:rsidP="00B90CBC">
            <w:pPr>
              <w:spacing w:after="0" w:line="240" w:lineRule="exact"/>
              <w:jc w:val="center"/>
              <w:rPr>
                <w:rFonts w:ascii="Times New Roman" w:hAnsi="Times New Roman"/>
                <w:b/>
                <w:sz w:val="24"/>
                <w:szCs w:val="24"/>
              </w:rPr>
            </w:pPr>
            <w:r w:rsidRPr="001A2D3F">
              <w:rPr>
                <w:rFonts w:ascii="Times New Roman" w:hAnsi="Times New Roman"/>
                <w:b/>
                <w:sz w:val="24"/>
                <w:szCs w:val="24"/>
              </w:rPr>
              <w:t>Форма торгов</w:t>
            </w:r>
          </w:p>
          <w:p w:rsidR="00965958" w:rsidRPr="001A2D3F" w:rsidRDefault="00965958" w:rsidP="00B90CBC">
            <w:pPr>
              <w:spacing w:after="0" w:line="240" w:lineRule="exact"/>
              <w:jc w:val="center"/>
              <w:rPr>
                <w:rFonts w:ascii="Times New Roman" w:hAnsi="Times New Roman"/>
                <w:b/>
                <w:sz w:val="24"/>
                <w:szCs w:val="24"/>
              </w:rPr>
            </w:pPr>
          </w:p>
        </w:tc>
        <w:tc>
          <w:tcPr>
            <w:tcW w:w="1417" w:type="dxa"/>
          </w:tcPr>
          <w:p w:rsidR="00965958" w:rsidRPr="001A2D3F" w:rsidRDefault="00965958" w:rsidP="00B90CBC">
            <w:pPr>
              <w:spacing w:after="0" w:line="240" w:lineRule="exact"/>
              <w:jc w:val="center"/>
              <w:rPr>
                <w:rFonts w:ascii="Times New Roman" w:hAnsi="Times New Roman"/>
                <w:b/>
                <w:sz w:val="24"/>
                <w:szCs w:val="24"/>
              </w:rPr>
            </w:pPr>
            <w:r w:rsidRPr="001A2D3F">
              <w:rPr>
                <w:rFonts w:ascii="Times New Roman" w:hAnsi="Times New Roman"/>
                <w:b/>
                <w:sz w:val="24"/>
                <w:szCs w:val="24"/>
              </w:rPr>
              <w:t>Кол-во лотов</w:t>
            </w:r>
          </w:p>
          <w:p w:rsidR="00965958" w:rsidRPr="001A2D3F" w:rsidRDefault="00965958" w:rsidP="00B90CBC">
            <w:pPr>
              <w:spacing w:after="0" w:line="240" w:lineRule="exact"/>
              <w:jc w:val="center"/>
              <w:rPr>
                <w:rFonts w:ascii="Times New Roman" w:hAnsi="Times New Roman"/>
                <w:b/>
                <w:sz w:val="24"/>
                <w:szCs w:val="24"/>
              </w:rPr>
            </w:pPr>
          </w:p>
        </w:tc>
        <w:tc>
          <w:tcPr>
            <w:tcW w:w="2694" w:type="dxa"/>
          </w:tcPr>
          <w:p w:rsidR="00965958" w:rsidRPr="001A2D3F" w:rsidRDefault="00965958" w:rsidP="00B90CBC">
            <w:pPr>
              <w:spacing w:after="0" w:line="240" w:lineRule="exact"/>
              <w:jc w:val="center"/>
              <w:rPr>
                <w:rFonts w:ascii="Times New Roman" w:hAnsi="Times New Roman"/>
                <w:b/>
                <w:sz w:val="24"/>
                <w:szCs w:val="24"/>
              </w:rPr>
            </w:pPr>
            <w:r w:rsidRPr="001A2D3F">
              <w:rPr>
                <w:rFonts w:ascii="Times New Roman" w:hAnsi="Times New Roman"/>
                <w:b/>
                <w:sz w:val="24"/>
                <w:szCs w:val="24"/>
              </w:rPr>
              <w:t>Адрес проведения торгов</w:t>
            </w:r>
          </w:p>
          <w:p w:rsidR="00965958" w:rsidRPr="001A2D3F" w:rsidRDefault="00965958" w:rsidP="00B90CBC">
            <w:pPr>
              <w:spacing w:after="0" w:line="240" w:lineRule="exact"/>
              <w:rPr>
                <w:rFonts w:ascii="Times New Roman" w:hAnsi="Times New Roman"/>
                <w:b/>
                <w:sz w:val="24"/>
                <w:szCs w:val="24"/>
              </w:rPr>
            </w:pPr>
          </w:p>
          <w:p w:rsidR="00965958" w:rsidRPr="001A2D3F" w:rsidRDefault="00965958" w:rsidP="00B90CBC">
            <w:pPr>
              <w:spacing w:after="0" w:line="240" w:lineRule="exact"/>
              <w:jc w:val="center"/>
              <w:rPr>
                <w:rFonts w:ascii="Times New Roman" w:hAnsi="Times New Roman"/>
                <w:b/>
                <w:sz w:val="24"/>
                <w:szCs w:val="24"/>
              </w:rPr>
            </w:pPr>
          </w:p>
        </w:tc>
        <w:tc>
          <w:tcPr>
            <w:tcW w:w="2127" w:type="dxa"/>
          </w:tcPr>
          <w:p w:rsidR="00965958" w:rsidRPr="001A2D3F" w:rsidRDefault="00965958" w:rsidP="00B90CBC">
            <w:pPr>
              <w:spacing w:after="0" w:line="240" w:lineRule="exact"/>
              <w:ind w:left="62"/>
              <w:jc w:val="center"/>
              <w:rPr>
                <w:rFonts w:ascii="Times New Roman" w:hAnsi="Times New Roman"/>
                <w:b/>
                <w:sz w:val="24"/>
                <w:szCs w:val="24"/>
              </w:rPr>
            </w:pPr>
            <w:r w:rsidRPr="001A2D3F">
              <w:rPr>
                <w:rFonts w:ascii="Times New Roman" w:hAnsi="Times New Roman"/>
                <w:b/>
                <w:sz w:val="24"/>
                <w:szCs w:val="24"/>
              </w:rPr>
              <w:t xml:space="preserve">Дата проведения </w:t>
            </w:r>
          </w:p>
          <w:p w:rsidR="00965958" w:rsidRPr="001A2D3F" w:rsidRDefault="00965958" w:rsidP="00B90CBC">
            <w:pPr>
              <w:spacing w:after="0" w:line="240" w:lineRule="exact"/>
              <w:jc w:val="center"/>
              <w:rPr>
                <w:rFonts w:ascii="Times New Roman" w:hAnsi="Times New Roman"/>
                <w:b/>
                <w:sz w:val="24"/>
                <w:szCs w:val="24"/>
              </w:rPr>
            </w:pPr>
            <w:r w:rsidRPr="001A2D3F">
              <w:rPr>
                <w:rFonts w:ascii="Times New Roman" w:hAnsi="Times New Roman"/>
                <w:b/>
                <w:sz w:val="24"/>
                <w:szCs w:val="24"/>
              </w:rPr>
              <w:t>торгов</w:t>
            </w:r>
          </w:p>
        </w:tc>
        <w:tc>
          <w:tcPr>
            <w:tcW w:w="1701" w:type="dxa"/>
          </w:tcPr>
          <w:p w:rsidR="00965958" w:rsidRPr="00E94DD0" w:rsidRDefault="00965958" w:rsidP="00B90CBC">
            <w:pPr>
              <w:spacing w:after="0" w:line="240" w:lineRule="exact"/>
              <w:ind w:left="62"/>
              <w:jc w:val="center"/>
              <w:rPr>
                <w:rFonts w:ascii="Times New Roman" w:hAnsi="Times New Roman"/>
                <w:sz w:val="24"/>
                <w:szCs w:val="24"/>
              </w:rPr>
            </w:pPr>
            <w:r w:rsidRPr="001A2D3F">
              <w:rPr>
                <w:rFonts w:ascii="Times New Roman" w:hAnsi="Times New Roman"/>
                <w:b/>
                <w:sz w:val="24"/>
                <w:szCs w:val="24"/>
              </w:rPr>
              <w:t>Номер и дата объявления, размещенного в Едином Федеральном реестре сведений о банкротстве</w:t>
            </w:r>
          </w:p>
        </w:tc>
      </w:tr>
      <w:tr w:rsidR="006F17E2" w:rsidRPr="00E86679" w:rsidTr="003B027D">
        <w:trPr>
          <w:trHeight w:val="4474"/>
        </w:trPr>
        <w:tc>
          <w:tcPr>
            <w:tcW w:w="454" w:type="dxa"/>
          </w:tcPr>
          <w:p w:rsidR="006F17E2" w:rsidRPr="00E958FA" w:rsidRDefault="006F17E2" w:rsidP="006F17E2">
            <w:pPr>
              <w:spacing w:after="0" w:line="240" w:lineRule="exact"/>
              <w:jc w:val="center"/>
              <w:rPr>
                <w:rFonts w:ascii="Times New Roman" w:hAnsi="Times New Roman"/>
                <w:sz w:val="24"/>
                <w:szCs w:val="24"/>
              </w:rPr>
            </w:pPr>
            <w:r w:rsidRPr="00E958FA">
              <w:rPr>
                <w:rFonts w:ascii="Times New Roman" w:hAnsi="Times New Roman"/>
                <w:sz w:val="24"/>
                <w:szCs w:val="24"/>
              </w:rPr>
              <w:t>1</w:t>
            </w:r>
          </w:p>
        </w:tc>
        <w:tc>
          <w:tcPr>
            <w:tcW w:w="1957" w:type="dxa"/>
          </w:tcPr>
          <w:p w:rsidR="006F17E2" w:rsidRPr="006F17E2" w:rsidRDefault="00231CF9" w:rsidP="007A29BF">
            <w:pPr>
              <w:spacing w:after="0" w:line="240" w:lineRule="auto"/>
              <w:rPr>
                <w:rFonts w:ascii="Times New Roman" w:hAnsi="Times New Roman"/>
                <w:sz w:val="24"/>
                <w:szCs w:val="24"/>
              </w:rPr>
            </w:pPr>
            <w:r>
              <w:rPr>
                <w:rFonts w:ascii="Times New Roman" w:hAnsi="Times New Roman"/>
                <w:sz w:val="24"/>
                <w:szCs w:val="24"/>
              </w:rPr>
              <w:t>ООО «</w:t>
            </w:r>
            <w:r w:rsidR="007A29BF">
              <w:rPr>
                <w:rFonts w:ascii="Times New Roman" w:hAnsi="Times New Roman"/>
                <w:sz w:val="24"/>
                <w:szCs w:val="24"/>
              </w:rPr>
              <w:t>ИК «Кубаньстройреализация</w:t>
            </w:r>
            <w:r>
              <w:rPr>
                <w:rFonts w:ascii="Times New Roman" w:hAnsi="Times New Roman"/>
                <w:sz w:val="24"/>
                <w:szCs w:val="24"/>
              </w:rPr>
              <w:t>»</w:t>
            </w:r>
            <w:r w:rsidR="000E59EF">
              <w:rPr>
                <w:rFonts w:ascii="Times New Roman" w:hAnsi="Times New Roman"/>
                <w:sz w:val="24"/>
                <w:szCs w:val="24"/>
              </w:rPr>
              <w:t xml:space="preserve"> </w:t>
            </w:r>
          </w:p>
        </w:tc>
        <w:tc>
          <w:tcPr>
            <w:tcW w:w="1842" w:type="dxa"/>
          </w:tcPr>
          <w:p w:rsidR="006F17E2" w:rsidRPr="006F17E2" w:rsidRDefault="007A29BF" w:rsidP="000301E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Рыбалкин Антон Вадимович</w:t>
            </w:r>
          </w:p>
        </w:tc>
        <w:tc>
          <w:tcPr>
            <w:tcW w:w="1985" w:type="dxa"/>
          </w:tcPr>
          <w:p w:rsidR="007A29BF" w:rsidRDefault="007A29BF" w:rsidP="000301E4">
            <w:pPr>
              <w:spacing w:line="240" w:lineRule="auto"/>
              <w:rPr>
                <w:rFonts w:ascii="Times New Roman" w:eastAsia="Times New Roman" w:hAnsi="Times New Roman"/>
                <w:sz w:val="24"/>
                <w:szCs w:val="24"/>
                <w:lang w:eastAsia="ru-RU"/>
              </w:rPr>
            </w:pPr>
            <w:r w:rsidRPr="007A29BF">
              <w:rPr>
                <w:rFonts w:ascii="Times New Roman" w:eastAsia="Times New Roman" w:hAnsi="Times New Roman"/>
                <w:sz w:val="24"/>
                <w:szCs w:val="24"/>
                <w:lang w:eastAsia="ru-RU"/>
              </w:rPr>
              <w:t xml:space="preserve">ООО «ТРК-Инвест» </w:t>
            </w:r>
          </w:p>
          <w:p w:rsidR="007A29BF" w:rsidRDefault="007A29BF" w:rsidP="007A29BF">
            <w:pPr>
              <w:spacing w:after="0" w:line="240" w:lineRule="auto"/>
              <w:rPr>
                <w:rFonts w:ascii="Times New Roman" w:eastAsia="Times New Roman" w:hAnsi="Times New Roman"/>
                <w:sz w:val="24"/>
                <w:szCs w:val="24"/>
                <w:lang w:eastAsia="ru-RU"/>
              </w:rPr>
            </w:pPr>
            <w:r w:rsidRPr="007A29BF">
              <w:rPr>
                <w:rFonts w:ascii="Times New Roman" w:eastAsia="Times New Roman" w:hAnsi="Times New Roman"/>
                <w:sz w:val="24"/>
                <w:szCs w:val="24"/>
                <w:lang w:eastAsia="ru-RU"/>
              </w:rPr>
              <w:t>ОГРН 1167847298882, ИНН 7813256749, адрес: 191015, Санкт-Петербург г., пр. Суворовский, д. 53, лит. А, пом. 5-Н, тел.: 8</w:t>
            </w:r>
            <w:r>
              <w:rPr>
                <w:rFonts w:ascii="Times New Roman" w:eastAsia="Times New Roman" w:hAnsi="Times New Roman"/>
                <w:sz w:val="24"/>
                <w:szCs w:val="24"/>
                <w:lang w:eastAsia="ru-RU"/>
              </w:rPr>
              <w:t>(</w:t>
            </w:r>
            <w:r w:rsidRPr="007A29BF">
              <w:rPr>
                <w:rFonts w:ascii="Times New Roman" w:eastAsia="Times New Roman" w:hAnsi="Times New Roman"/>
                <w:sz w:val="24"/>
                <w:szCs w:val="24"/>
                <w:lang w:eastAsia="ru-RU"/>
              </w:rPr>
              <w:t>911</w:t>
            </w:r>
            <w:r>
              <w:rPr>
                <w:rFonts w:ascii="Times New Roman" w:eastAsia="Times New Roman" w:hAnsi="Times New Roman"/>
                <w:sz w:val="24"/>
                <w:szCs w:val="24"/>
                <w:lang w:eastAsia="ru-RU"/>
              </w:rPr>
              <w:t>)</w:t>
            </w:r>
            <w:r w:rsidRPr="007A29BF">
              <w:rPr>
                <w:rFonts w:ascii="Times New Roman" w:eastAsia="Times New Roman" w:hAnsi="Times New Roman"/>
                <w:sz w:val="24"/>
                <w:szCs w:val="24"/>
                <w:lang w:eastAsia="ru-RU"/>
              </w:rPr>
              <w:t>8161810,</w:t>
            </w:r>
          </w:p>
          <w:p w:rsidR="007A29BF" w:rsidRDefault="007A29BF" w:rsidP="007A29BF">
            <w:pPr>
              <w:spacing w:after="0" w:line="240" w:lineRule="auto"/>
              <w:rPr>
                <w:rFonts w:ascii="Times New Roman" w:eastAsia="Times New Roman" w:hAnsi="Times New Roman"/>
                <w:sz w:val="24"/>
                <w:szCs w:val="24"/>
                <w:lang w:eastAsia="ru-RU"/>
              </w:rPr>
            </w:pPr>
            <w:r w:rsidRPr="007A29BF">
              <w:rPr>
                <w:rFonts w:ascii="Times New Roman" w:eastAsia="Times New Roman" w:hAnsi="Times New Roman"/>
                <w:sz w:val="24"/>
                <w:szCs w:val="24"/>
                <w:lang w:eastAsia="ru-RU"/>
              </w:rPr>
              <w:t xml:space="preserve">e-mail: </w:t>
            </w:r>
          </w:p>
          <w:p w:rsidR="001268B1" w:rsidRPr="006F17E2" w:rsidRDefault="00794504" w:rsidP="007A29BF">
            <w:pPr>
              <w:spacing w:after="0" w:line="240" w:lineRule="auto"/>
              <w:rPr>
                <w:rFonts w:ascii="Times New Roman" w:eastAsia="Times New Roman" w:hAnsi="Times New Roman"/>
                <w:sz w:val="24"/>
                <w:szCs w:val="24"/>
                <w:lang w:eastAsia="ru-RU"/>
              </w:rPr>
            </w:pPr>
            <w:hyperlink r:id="rId4" w:history="1">
              <w:r w:rsidR="007A29BF" w:rsidRPr="00287E7E">
                <w:rPr>
                  <w:rStyle w:val="a3"/>
                  <w:rFonts w:ascii="Times New Roman" w:eastAsia="Times New Roman" w:hAnsi="Times New Roman"/>
                  <w:sz w:val="24"/>
                  <w:szCs w:val="24"/>
                  <w:lang w:eastAsia="ru-RU"/>
                </w:rPr>
                <w:t>trk-invest@bk.ru</w:t>
              </w:r>
            </w:hyperlink>
            <w:r w:rsidR="007A29BF">
              <w:rPr>
                <w:rFonts w:ascii="Times New Roman" w:eastAsia="Times New Roman" w:hAnsi="Times New Roman"/>
                <w:sz w:val="24"/>
                <w:szCs w:val="24"/>
                <w:lang w:eastAsia="ru-RU"/>
              </w:rPr>
              <w:t xml:space="preserve"> </w:t>
            </w:r>
          </w:p>
        </w:tc>
        <w:tc>
          <w:tcPr>
            <w:tcW w:w="1701" w:type="dxa"/>
          </w:tcPr>
          <w:p w:rsidR="006F17E2" w:rsidRPr="003B5E2A" w:rsidRDefault="00493D86" w:rsidP="00E56D3C">
            <w:pPr>
              <w:spacing w:after="0" w:line="240" w:lineRule="auto"/>
              <w:rPr>
                <w:rFonts w:ascii="Times New Roman" w:eastAsia="Times New Roman" w:hAnsi="Times New Roman"/>
                <w:bCs/>
                <w:sz w:val="24"/>
                <w:szCs w:val="24"/>
                <w:lang w:val="en-US" w:eastAsia="ru-RU"/>
              </w:rPr>
            </w:pPr>
            <w:r>
              <w:rPr>
                <w:rFonts w:ascii="Times New Roman" w:eastAsia="Times New Roman" w:hAnsi="Times New Roman"/>
                <w:bCs/>
                <w:sz w:val="24"/>
                <w:szCs w:val="24"/>
                <w:lang w:eastAsia="ru-RU"/>
              </w:rPr>
              <w:t>Публичное предложение</w:t>
            </w:r>
          </w:p>
        </w:tc>
        <w:tc>
          <w:tcPr>
            <w:tcW w:w="1417" w:type="dxa"/>
          </w:tcPr>
          <w:p w:rsidR="006F17E2" w:rsidRPr="007A29BF" w:rsidRDefault="0065202C" w:rsidP="00847B1E">
            <w:pPr>
              <w:spacing w:after="0" w:line="240" w:lineRule="auto"/>
              <w:rPr>
                <w:rFonts w:ascii="Times New Roman" w:eastAsia="Times New Roman" w:hAnsi="Times New Roman"/>
                <w:b/>
                <w:bCs/>
                <w:sz w:val="32"/>
                <w:szCs w:val="32"/>
                <w:lang w:eastAsia="ru-RU"/>
              </w:rPr>
            </w:pPr>
            <w:r>
              <w:rPr>
                <w:rFonts w:ascii="Times New Roman" w:eastAsia="Times New Roman" w:hAnsi="Times New Roman"/>
                <w:bCs/>
                <w:sz w:val="24"/>
                <w:szCs w:val="24"/>
                <w:lang w:eastAsia="ru-RU"/>
              </w:rPr>
              <w:t>1</w:t>
            </w:r>
            <w:r w:rsidR="00BD52D8">
              <w:rPr>
                <w:rFonts w:ascii="Times New Roman" w:eastAsia="Times New Roman" w:hAnsi="Times New Roman"/>
                <w:bCs/>
                <w:sz w:val="24"/>
                <w:szCs w:val="24"/>
                <w:lang w:eastAsia="ru-RU"/>
              </w:rPr>
              <w:t xml:space="preserve"> </w:t>
            </w:r>
            <w:r w:rsidR="006F17E2" w:rsidRPr="006F17E2">
              <w:rPr>
                <w:rFonts w:ascii="Times New Roman" w:eastAsia="Times New Roman" w:hAnsi="Times New Roman"/>
                <w:bCs/>
                <w:sz w:val="24"/>
                <w:szCs w:val="24"/>
                <w:lang w:eastAsia="ru-RU"/>
              </w:rPr>
              <w:t>лот</w:t>
            </w:r>
            <w:r w:rsidR="00E56D3C">
              <w:rPr>
                <w:rFonts w:ascii="Times New Roman" w:eastAsia="Times New Roman" w:hAnsi="Times New Roman"/>
                <w:bCs/>
                <w:sz w:val="24"/>
                <w:szCs w:val="24"/>
                <w:lang w:eastAsia="ru-RU"/>
              </w:rPr>
              <w:t xml:space="preserve"> </w:t>
            </w:r>
            <w:r w:rsidR="006F17E2" w:rsidRPr="007A29BF">
              <w:rPr>
                <w:rFonts w:ascii="Times New Roman" w:eastAsia="Times New Roman" w:hAnsi="Times New Roman"/>
                <w:b/>
                <w:bCs/>
                <w:sz w:val="32"/>
                <w:szCs w:val="32"/>
                <w:lang w:eastAsia="ru-RU"/>
              </w:rPr>
              <w:t>*</w:t>
            </w:r>
          </w:p>
          <w:p w:rsidR="00231CF9" w:rsidRPr="00231CF9" w:rsidRDefault="00231CF9" w:rsidP="007A29BF">
            <w:pPr>
              <w:spacing w:after="0" w:line="240" w:lineRule="auto"/>
              <w:rPr>
                <w:rFonts w:ascii="Times New Roman" w:eastAsia="Times New Roman" w:hAnsi="Times New Roman"/>
                <w:bCs/>
                <w:sz w:val="24"/>
                <w:szCs w:val="24"/>
                <w:lang w:eastAsia="ru-RU"/>
              </w:rPr>
            </w:pPr>
            <w:r w:rsidRPr="00231CF9">
              <w:rPr>
                <w:rFonts w:ascii="Times New Roman" w:eastAsia="Times New Roman" w:hAnsi="Times New Roman"/>
                <w:bCs/>
                <w:sz w:val="28"/>
                <w:szCs w:val="28"/>
                <w:lang w:eastAsia="ru-RU"/>
              </w:rPr>
              <w:t>(</w:t>
            </w:r>
            <w:r w:rsidR="007A29BF">
              <w:rPr>
                <w:rFonts w:ascii="Times New Roman" w:eastAsia="Times New Roman" w:hAnsi="Times New Roman"/>
                <w:bCs/>
                <w:sz w:val="28"/>
                <w:szCs w:val="28"/>
                <w:lang w:eastAsia="ru-RU"/>
              </w:rPr>
              <w:t>право требования</w:t>
            </w:r>
            <w:r w:rsidRPr="00231CF9">
              <w:rPr>
                <w:rFonts w:ascii="Times New Roman" w:eastAsia="Times New Roman" w:hAnsi="Times New Roman"/>
                <w:bCs/>
                <w:sz w:val="28"/>
                <w:szCs w:val="28"/>
                <w:lang w:eastAsia="ru-RU"/>
              </w:rPr>
              <w:t>)</w:t>
            </w:r>
          </w:p>
        </w:tc>
        <w:tc>
          <w:tcPr>
            <w:tcW w:w="2694" w:type="dxa"/>
          </w:tcPr>
          <w:p w:rsidR="006F17E2" w:rsidRPr="00947718" w:rsidRDefault="008802D9" w:rsidP="00561837">
            <w:pPr>
              <w:spacing w:after="0" w:line="240" w:lineRule="auto"/>
              <w:rPr>
                <w:rFonts w:ascii="Times New Roman" w:hAnsi="Times New Roman"/>
                <w:b/>
                <w:sz w:val="28"/>
                <w:szCs w:val="28"/>
              </w:rPr>
            </w:pPr>
            <w:r w:rsidRPr="008802D9">
              <w:rPr>
                <w:rFonts w:ascii="Times New Roman" w:eastAsia="Times New Roman" w:hAnsi="Times New Roman"/>
                <w:bCs/>
                <w:sz w:val="24"/>
                <w:szCs w:val="24"/>
                <w:lang w:eastAsia="ru-RU"/>
              </w:rPr>
              <w:t>Электронн</w:t>
            </w:r>
            <w:r>
              <w:rPr>
                <w:rFonts w:ascii="Times New Roman" w:eastAsia="Times New Roman" w:hAnsi="Times New Roman"/>
                <w:bCs/>
                <w:sz w:val="24"/>
                <w:szCs w:val="24"/>
                <w:lang w:eastAsia="ru-RU"/>
              </w:rPr>
              <w:t>ая торговая</w:t>
            </w:r>
            <w:r w:rsidRPr="008802D9">
              <w:rPr>
                <w:rFonts w:ascii="Times New Roman" w:eastAsia="Times New Roman" w:hAnsi="Times New Roman"/>
                <w:bCs/>
                <w:sz w:val="24"/>
                <w:szCs w:val="24"/>
                <w:lang w:eastAsia="ru-RU"/>
              </w:rPr>
              <w:t xml:space="preserve"> площадк</w:t>
            </w:r>
            <w:r>
              <w:rPr>
                <w:rFonts w:ascii="Times New Roman" w:eastAsia="Times New Roman" w:hAnsi="Times New Roman"/>
                <w:bCs/>
                <w:sz w:val="24"/>
                <w:szCs w:val="24"/>
                <w:lang w:eastAsia="ru-RU"/>
              </w:rPr>
              <w:t>а</w:t>
            </w:r>
            <w:r w:rsidRPr="008802D9">
              <w:rPr>
                <w:rFonts w:ascii="Times New Roman" w:eastAsia="Times New Roman" w:hAnsi="Times New Roman"/>
                <w:bCs/>
                <w:sz w:val="24"/>
                <w:szCs w:val="24"/>
                <w:lang w:eastAsia="ru-RU"/>
              </w:rPr>
              <w:t xml:space="preserve"> </w:t>
            </w:r>
            <w:r w:rsidR="000301E4" w:rsidRPr="000301E4">
              <w:rPr>
                <w:rFonts w:ascii="Times New Roman" w:eastAsia="Times New Roman" w:hAnsi="Times New Roman"/>
                <w:bCs/>
                <w:sz w:val="24"/>
                <w:szCs w:val="24"/>
                <w:lang w:eastAsia="ru-RU"/>
              </w:rPr>
              <w:t>"</w:t>
            </w:r>
            <w:r w:rsidR="00561837">
              <w:rPr>
                <w:rFonts w:ascii="Times New Roman" w:eastAsia="Times New Roman" w:hAnsi="Times New Roman"/>
                <w:bCs/>
                <w:sz w:val="24"/>
                <w:szCs w:val="24"/>
                <w:lang w:eastAsia="ru-RU"/>
              </w:rPr>
              <w:t>Межрегиональная Электронная торговая площадка</w:t>
            </w:r>
            <w:r w:rsidR="000301E4" w:rsidRPr="000301E4">
              <w:rPr>
                <w:rFonts w:ascii="Times New Roman" w:eastAsia="Times New Roman" w:hAnsi="Times New Roman"/>
                <w:bCs/>
                <w:sz w:val="24"/>
                <w:szCs w:val="24"/>
                <w:lang w:eastAsia="ru-RU"/>
              </w:rPr>
              <w:t>"</w:t>
            </w:r>
            <w:r w:rsidR="00E23D08" w:rsidRPr="00E23D08">
              <w:rPr>
                <w:rFonts w:ascii="Times New Roman" w:eastAsia="Times New Roman" w:hAnsi="Times New Roman"/>
                <w:bCs/>
                <w:sz w:val="24"/>
                <w:szCs w:val="24"/>
                <w:lang w:eastAsia="ru-RU"/>
              </w:rPr>
              <w:t xml:space="preserve"> </w:t>
            </w:r>
            <w:r w:rsidR="00561837">
              <w:rPr>
                <w:rFonts w:ascii="Times New Roman" w:eastAsia="Times New Roman" w:hAnsi="Times New Roman"/>
                <w:bCs/>
                <w:sz w:val="24"/>
                <w:szCs w:val="24"/>
                <w:lang w:eastAsia="ru-RU"/>
              </w:rPr>
              <w:t xml:space="preserve">(«МЭТС») </w:t>
            </w:r>
            <w:r w:rsidR="00E23D08" w:rsidRPr="00E23D08">
              <w:rPr>
                <w:rFonts w:ascii="Times New Roman" w:eastAsia="Times New Roman" w:hAnsi="Times New Roman"/>
                <w:bCs/>
                <w:sz w:val="24"/>
                <w:szCs w:val="24"/>
                <w:lang w:eastAsia="ru-RU"/>
              </w:rPr>
              <w:t xml:space="preserve">- </w:t>
            </w:r>
            <w:r w:rsidR="00561837" w:rsidRPr="00561837">
              <w:rPr>
                <w:rFonts w:ascii="Times New Roman" w:hAnsi="Times New Roman"/>
                <w:b/>
                <w:color w:val="0563C1" w:themeColor="hyperlink"/>
                <w:sz w:val="28"/>
                <w:szCs w:val="28"/>
                <w:u w:val="single"/>
              </w:rPr>
              <w:t>https://m-ets.ru</w:t>
            </w:r>
            <w:r w:rsidR="00E23D08">
              <w:rPr>
                <w:rFonts w:ascii="Times New Roman" w:eastAsia="Times New Roman" w:hAnsi="Times New Roman"/>
                <w:bCs/>
                <w:sz w:val="24"/>
                <w:szCs w:val="24"/>
                <w:lang w:eastAsia="ru-RU"/>
              </w:rPr>
              <w:t xml:space="preserve"> </w:t>
            </w:r>
            <w:r w:rsidR="00947718" w:rsidRPr="00947718">
              <w:rPr>
                <w:rFonts w:ascii="Times New Roman" w:hAnsi="Times New Roman"/>
                <w:b/>
                <w:sz w:val="28"/>
                <w:szCs w:val="28"/>
              </w:rPr>
              <w:t xml:space="preserve"> </w:t>
            </w:r>
          </w:p>
        </w:tc>
        <w:tc>
          <w:tcPr>
            <w:tcW w:w="2127" w:type="dxa"/>
          </w:tcPr>
          <w:p w:rsidR="006F17E2" w:rsidRPr="003D2AB9" w:rsidRDefault="006F17E2" w:rsidP="006F17E2">
            <w:pPr>
              <w:spacing w:after="0" w:line="240" w:lineRule="exact"/>
              <w:rPr>
                <w:rFonts w:ascii="Times New Roman" w:eastAsia="Times New Roman" w:hAnsi="Times New Roman"/>
                <w:sz w:val="24"/>
                <w:szCs w:val="24"/>
                <w:lang w:eastAsia="ru-RU"/>
              </w:rPr>
            </w:pPr>
            <w:r w:rsidRPr="003D2AB9">
              <w:rPr>
                <w:rFonts w:ascii="Times New Roman" w:eastAsia="Times New Roman" w:hAnsi="Times New Roman"/>
                <w:sz w:val="24"/>
                <w:szCs w:val="24"/>
                <w:lang w:eastAsia="ru-RU"/>
              </w:rPr>
              <w:t xml:space="preserve">Дата и время начала подачи заявок: </w:t>
            </w:r>
            <w:r w:rsidR="00493D86">
              <w:rPr>
                <w:rFonts w:ascii="Times New Roman" w:eastAsia="Times New Roman" w:hAnsi="Times New Roman"/>
                <w:sz w:val="24"/>
                <w:szCs w:val="24"/>
                <w:lang w:eastAsia="ru-RU"/>
              </w:rPr>
              <w:t>03.06</w:t>
            </w:r>
            <w:r w:rsidR="00CD0B12">
              <w:rPr>
                <w:rFonts w:ascii="Times New Roman" w:eastAsia="Times New Roman" w:hAnsi="Times New Roman"/>
                <w:sz w:val="24"/>
                <w:szCs w:val="24"/>
                <w:lang w:eastAsia="ru-RU"/>
              </w:rPr>
              <w:t>.2024</w:t>
            </w:r>
            <w:r>
              <w:rPr>
                <w:rFonts w:ascii="Times New Roman" w:eastAsia="Times New Roman" w:hAnsi="Times New Roman"/>
                <w:sz w:val="24"/>
                <w:szCs w:val="24"/>
                <w:lang w:eastAsia="ru-RU"/>
              </w:rPr>
              <w:t>;</w:t>
            </w:r>
            <w:r w:rsidRPr="006F17E2">
              <w:rPr>
                <w:rFonts w:ascii="Times New Roman" w:eastAsia="Times New Roman" w:hAnsi="Times New Roman"/>
                <w:sz w:val="24"/>
                <w:szCs w:val="24"/>
                <w:lang w:eastAsia="ru-RU"/>
              </w:rPr>
              <w:t> </w:t>
            </w:r>
            <w:r w:rsidR="00493D86">
              <w:rPr>
                <w:rFonts w:ascii="Times New Roman" w:eastAsia="Times New Roman" w:hAnsi="Times New Roman"/>
                <w:sz w:val="24"/>
                <w:szCs w:val="24"/>
                <w:lang w:eastAsia="ru-RU"/>
              </w:rPr>
              <w:t>09</w:t>
            </w:r>
            <w:r w:rsidRPr="006F17E2">
              <w:rPr>
                <w:rFonts w:ascii="Times New Roman" w:eastAsia="Times New Roman" w:hAnsi="Times New Roman"/>
                <w:sz w:val="24"/>
                <w:szCs w:val="24"/>
                <w:lang w:eastAsia="ru-RU"/>
              </w:rPr>
              <w:t>.0</w:t>
            </w:r>
            <w:r w:rsidR="00847B1E">
              <w:rPr>
                <w:rFonts w:ascii="Times New Roman" w:eastAsia="Times New Roman" w:hAnsi="Times New Roman"/>
                <w:sz w:val="24"/>
                <w:szCs w:val="24"/>
                <w:lang w:eastAsia="ru-RU"/>
              </w:rPr>
              <w:t>0</w:t>
            </w:r>
          </w:p>
          <w:p w:rsidR="006F17E2" w:rsidRPr="003D2AB9" w:rsidRDefault="006F17E2" w:rsidP="006F17E2">
            <w:pPr>
              <w:spacing w:after="0" w:line="240" w:lineRule="exact"/>
              <w:rPr>
                <w:rFonts w:ascii="Times New Roman" w:eastAsia="Times New Roman" w:hAnsi="Times New Roman"/>
                <w:sz w:val="24"/>
                <w:szCs w:val="24"/>
                <w:lang w:eastAsia="ru-RU"/>
              </w:rPr>
            </w:pPr>
            <w:r w:rsidRPr="003D2AB9">
              <w:rPr>
                <w:rFonts w:ascii="Times New Roman" w:eastAsia="Times New Roman" w:hAnsi="Times New Roman"/>
                <w:sz w:val="24"/>
                <w:szCs w:val="24"/>
                <w:lang w:eastAsia="ru-RU"/>
              </w:rPr>
              <w:t xml:space="preserve">Дата и время окончания подачи заявок: </w:t>
            </w:r>
          </w:p>
          <w:p w:rsidR="006F17E2" w:rsidRDefault="00493D86" w:rsidP="006F17E2">
            <w:pPr>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09.07</w:t>
            </w:r>
            <w:r w:rsidR="003B5E2A">
              <w:rPr>
                <w:rFonts w:ascii="Times New Roman" w:eastAsia="Times New Roman" w:hAnsi="Times New Roman"/>
                <w:sz w:val="24"/>
                <w:szCs w:val="24"/>
                <w:lang w:eastAsia="ru-RU"/>
              </w:rPr>
              <w:t>.2024</w:t>
            </w:r>
            <w:r w:rsidR="005210EA">
              <w:rPr>
                <w:rFonts w:ascii="Times New Roman" w:eastAsia="Times New Roman" w:hAnsi="Times New Roman"/>
                <w:sz w:val="24"/>
                <w:szCs w:val="24"/>
                <w:lang w:eastAsia="ru-RU"/>
              </w:rPr>
              <w:t>;</w:t>
            </w:r>
            <w:r w:rsidR="006F17E2" w:rsidRPr="006F17E2">
              <w:rPr>
                <w:rFonts w:ascii="Times New Roman" w:eastAsia="Times New Roman" w:hAnsi="Times New Roman"/>
                <w:sz w:val="24"/>
                <w:szCs w:val="24"/>
                <w:lang w:eastAsia="ru-RU"/>
              </w:rPr>
              <w:t> </w:t>
            </w:r>
            <w:r>
              <w:rPr>
                <w:rFonts w:ascii="Times New Roman" w:eastAsia="Times New Roman" w:hAnsi="Times New Roman"/>
                <w:sz w:val="24"/>
                <w:szCs w:val="24"/>
                <w:lang w:eastAsia="ru-RU"/>
              </w:rPr>
              <w:t>09</w:t>
            </w:r>
            <w:r w:rsidR="00561837">
              <w:rPr>
                <w:rFonts w:ascii="Times New Roman" w:eastAsia="Times New Roman" w:hAnsi="Times New Roman"/>
                <w:sz w:val="24"/>
                <w:szCs w:val="24"/>
                <w:lang w:eastAsia="ru-RU"/>
              </w:rPr>
              <w:t>.00</w:t>
            </w:r>
          </w:p>
          <w:p w:rsidR="0066012F" w:rsidRDefault="0066012F" w:rsidP="006F17E2">
            <w:pPr>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и время проведения торгов:</w:t>
            </w:r>
          </w:p>
          <w:p w:rsidR="006F17E2" w:rsidRPr="003D2AB9" w:rsidRDefault="00493D86" w:rsidP="00493D86">
            <w:pPr>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09.07</w:t>
            </w:r>
            <w:r w:rsidR="003B5E2A">
              <w:rPr>
                <w:rFonts w:ascii="Times New Roman" w:eastAsia="Times New Roman" w:hAnsi="Times New Roman"/>
                <w:sz w:val="24"/>
                <w:szCs w:val="24"/>
                <w:lang w:eastAsia="ru-RU"/>
              </w:rPr>
              <w:t>.2024</w:t>
            </w:r>
            <w:r w:rsidR="000301E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09</w:t>
            </w:r>
            <w:r w:rsidR="000301E4">
              <w:rPr>
                <w:rFonts w:ascii="Times New Roman" w:eastAsia="Times New Roman" w:hAnsi="Times New Roman"/>
                <w:sz w:val="24"/>
                <w:szCs w:val="24"/>
                <w:lang w:eastAsia="ru-RU"/>
              </w:rPr>
              <w:t>.00</w:t>
            </w:r>
          </w:p>
        </w:tc>
        <w:tc>
          <w:tcPr>
            <w:tcW w:w="1701" w:type="dxa"/>
          </w:tcPr>
          <w:p w:rsidR="006F17E2" w:rsidRPr="003D2AB9" w:rsidRDefault="003B027D" w:rsidP="00493D86">
            <w:pPr>
              <w:rPr>
                <w:rFonts w:ascii="Times New Roman" w:hAnsi="Times New Roman"/>
                <w:bCs/>
                <w:sz w:val="24"/>
                <w:szCs w:val="24"/>
              </w:rPr>
            </w:pPr>
            <w:r>
              <w:rPr>
                <w:rFonts w:ascii="Times New Roman" w:hAnsi="Times New Roman"/>
                <w:sz w:val="24"/>
                <w:szCs w:val="24"/>
              </w:rPr>
              <w:t>14</w:t>
            </w:r>
            <w:r w:rsidR="00493D86">
              <w:rPr>
                <w:rFonts w:ascii="Times New Roman" w:hAnsi="Times New Roman"/>
                <w:sz w:val="24"/>
                <w:szCs w:val="24"/>
              </w:rPr>
              <w:t>488382</w:t>
            </w:r>
            <w:r w:rsidR="00763B1E">
              <w:rPr>
                <w:rFonts w:ascii="Times New Roman" w:hAnsi="Times New Roman"/>
                <w:sz w:val="24"/>
                <w:szCs w:val="24"/>
              </w:rPr>
              <w:t xml:space="preserve"> </w:t>
            </w:r>
            <w:r w:rsidR="006F17E2" w:rsidRPr="006F17E2">
              <w:rPr>
                <w:rFonts w:ascii="Times New Roman" w:hAnsi="Times New Roman"/>
                <w:sz w:val="24"/>
                <w:szCs w:val="24"/>
              </w:rPr>
              <w:t xml:space="preserve">от </w:t>
            </w:r>
            <w:r w:rsidR="00493D86">
              <w:rPr>
                <w:rFonts w:ascii="Times New Roman" w:hAnsi="Times New Roman"/>
                <w:sz w:val="24"/>
                <w:szCs w:val="24"/>
              </w:rPr>
              <w:t>31.05</w:t>
            </w:r>
            <w:r w:rsidR="00CD0B12">
              <w:rPr>
                <w:rFonts w:ascii="Times New Roman" w:hAnsi="Times New Roman"/>
                <w:sz w:val="24"/>
                <w:szCs w:val="24"/>
              </w:rPr>
              <w:t>.2024</w:t>
            </w:r>
          </w:p>
        </w:tc>
      </w:tr>
    </w:tbl>
    <w:p w:rsidR="00920AED" w:rsidRDefault="00920AED" w:rsidP="00920AED">
      <w:pPr>
        <w:spacing w:after="0" w:line="240" w:lineRule="auto"/>
        <w:rPr>
          <w:rFonts w:ascii="Times New Roman" w:hAnsi="Times New Roman"/>
          <w:b/>
          <w:sz w:val="28"/>
          <w:szCs w:val="28"/>
        </w:rPr>
      </w:pPr>
    </w:p>
    <w:p w:rsidR="007A2E78" w:rsidRDefault="00E958FA" w:rsidP="008802D9">
      <w:pPr>
        <w:spacing w:after="0" w:line="240" w:lineRule="auto"/>
        <w:rPr>
          <w:rFonts w:ascii="Times New Roman" w:hAnsi="Times New Roman"/>
          <w:b/>
          <w:sz w:val="28"/>
          <w:szCs w:val="28"/>
          <w:u w:val="single"/>
        </w:rPr>
      </w:pPr>
      <w:r w:rsidRPr="007A29BF">
        <w:rPr>
          <w:rFonts w:ascii="Times New Roman" w:hAnsi="Times New Roman"/>
          <w:b/>
          <w:sz w:val="32"/>
          <w:szCs w:val="32"/>
        </w:rPr>
        <w:t>*</w:t>
      </w:r>
      <w:r w:rsidRPr="00E958FA">
        <w:rPr>
          <w:rFonts w:ascii="Times New Roman" w:hAnsi="Times New Roman"/>
          <w:b/>
          <w:sz w:val="28"/>
          <w:szCs w:val="28"/>
        </w:rPr>
        <w:t xml:space="preserve"> </w:t>
      </w:r>
      <w:r w:rsidR="007A2E78" w:rsidRPr="007A2E78">
        <w:rPr>
          <w:rFonts w:ascii="Times New Roman" w:hAnsi="Times New Roman"/>
          <w:b/>
          <w:sz w:val="28"/>
          <w:szCs w:val="28"/>
          <w:u w:val="single"/>
        </w:rPr>
        <w:t>На торги</w:t>
      </w:r>
      <w:r w:rsidR="00BB2EF1">
        <w:rPr>
          <w:rFonts w:ascii="Times New Roman" w:hAnsi="Times New Roman"/>
          <w:b/>
          <w:sz w:val="28"/>
          <w:szCs w:val="28"/>
          <w:u w:val="single"/>
        </w:rPr>
        <w:t xml:space="preserve"> </w:t>
      </w:r>
      <w:r w:rsidR="003B027D">
        <w:rPr>
          <w:rFonts w:ascii="Times New Roman" w:hAnsi="Times New Roman"/>
          <w:b/>
          <w:sz w:val="28"/>
          <w:szCs w:val="28"/>
          <w:u w:val="single"/>
        </w:rPr>
        <w:t xml:space="preserve">(повторные) </w:t>
      </w:r>
      <w:r w:rsidR="007A2E78" w:rsidRPr="007A2E78">
        <w:rPr>
          <w:rFonts w:ascii="Times New Roman" w:hAnsi="Times New Roman"/>
          <w:b/>
          <w:sz w:val="28"/>
          <w:szCs w:val="28"/>
          <w:u w:val="single"/>
        </w:rPr>
        <w:t>выставляется следующее имущество:</w:t>
      </w:r>
    </w:p>
    <w:p w:rsidR="00F6373B" w:rsidRDefault="001B5E72" w:rsidP="00F6373B">
      <w:pPr>
        <w:spacing w:after="0" w:line="240" w:lineRule="auto"/>
        <w:jc w:val="both"/>
        <w:rPr>
          <w:rFonts w:ascii="Times New Roman" w:hAnsi="Times New Roman"/>
          <w:b/>
          <w:sz w:val="28"/>
          <w:szCs w:val="28"/>
        </w:rPr>
      </w:pPr>
      <w:r w:rsidRPr="001B5E72">
        <w:rPr>
          <w:rFonts w:ascii="Times New Roman" w:hAnsi="Times New Roman"/>
          <w:b/>
          <w:sz w:val="28"/>
          <w:szCs w:val="28"/>
        </w:rPr>
        <w:t>Л</w:t>
      </w:r>
      <w:r w:rsidR="001B62AB">
        <w:rPr>
          <w:rFonts w:ascii="Times New Roman" w:hAnsi="Times New Roman"/>
          <w:b/>
          <w:sz w:val="28"/>
          <w:szCs w:val="28"/>
        </w:rPr>
        <w:t>ОТ</w:t>
      </w:r>
      <w:r w:rsidRPr="001B5E72">
        <w:rPr>
          <w:rFonts w:ascii="Times New Roman" w:hAnsi="Times New Roman"/>
          <w:b/>
          <w:sz w:val="28"/>
          <w:szCs w:val="28"/>
        </w:rPr>
        <w:t xml:space="preserve"> </w:t>
      </w:r>
      <w:r w:rsidR="0065202C">
        <w:rPr>
          <w:rFonts w:ascii="Times New Roman" w:hAnsi="Times New Roman"/>
          <w:b/>
          <w:sz w:val="28"/>
          <w:szCs w:val="28"/>
        </w:rPr>
        <w:t xml:space="preserve">№ </w:t>
      </w:r>
      <w:r w:rsidR="007A29BF">
        <w:rPr>
          <w:rFonts w:ascii="Times New Roman" w:hAnsi="Times New Roman"/>
          <w:b/>
          <w:sz w:val="28"/>
          <w:szCs w:val="28"/>
        </w:rPr>
        <w:t>1</w:t>
      </w:r>
      <w:r w:rsidR="00F6373B">
        <w:rPr>
          <w:rFonts w:ascii="Times New Roman" w:hAnsi="Times New Roman"/>
          <w:b/>
          <w:sz w:val="28"/>
          <w:szCs w:val="28"/>
        </w:rPr>
        <w:t>:</w:t>
      </w:r>
    </w:p>
    <w:p w:rsidR="007A29BF" w:rsidRDefault="001B5E72" w:rsidP="00CD0B12">
      <w:pPr>
        <w:spacing w:after="0" w:line="240" w:lineRule="auto"/>
        <w:rPr>
          <w:rFonts w:ascii="Times New Roman" w:hAnsi="Times New Roman"/>
          <w:b/>
          <w:sz w:val="28"/>
          <w:szCs w:val="28"/>
        </w:rPr>
      </w:pPr>
      <w:r w:rsidRPr="001B5E72">
        <w:rPr>
          <w:rFonts w:ascii="Times New Roman" w:hAnsi="Times New Roman"/>
          <w:b/>
          <w:sz w:val="28"/>
          <w:szCs w:val="28"/>
        </w:rPr>
        <w:t xml:space="preserve"> </w:t>
      </w:r>
      <w:r w:rsidR="00F10817" w:rsidRPr="00F10817">
        <w:rPr>
          <w:rFonts w:ascii="Times New Roman" w:hAnsi="Times New Roman"/>
          <w:b/>
          <w:sz w:val="28"/>
          <w:szCs w:val="28"/>
        </w:rPr>
        <w:t xml:space="preserve">– </w:t>
      </w:r>
      <w:r w:rsidR="007A29BF" w:rsidRPr="007A29BF">
        <w:rPr>
          <w:rFonts w:ascii="Times New Roman" w:hAnsi="Times New Roman"/>
          <w:b/>
          <w:sz w:val="28"/>
          <w:szCs w:val="28"/>
        </w:rPr>
        <w:t xml:space="preserve">Имущество ООО НПО «Кубаньстройреализация»: Право требования о привлечении к субсидиарной ответственности Навроцкого Виктора Григорьевича и Куява Ежи Стефана, установленное Определением </w:t>
      </w:r>
      <w:r w:rsidR="007A29BF" w:rsidRPr="007A29BF">
        <w:rPr>
          <w:rFonts w:ascii="Times New Roman" w:hAnsi="Times New Roman"/>
          <w:b/>
          <w:sz w:val="28"/>
          <w:szCs w:val="28"/>
        </w:rPr>
        <w:lastRenderedPageBreak/>
        <w:t>Арбитражного суда Краснодарского края от 25.04.2022 года по делу № А32-2320/2019 номинальной стоимостью на сумму 9 514 763, 35 рублей.</w:t>
      </w:r>
    </w:p>
    <w:p w:rsidR="006F3329" w:rsidRDefault="007A29BF" w:rsidP="00CD0B12">
      <w:pPr>
        <w:spacing w:after="0" w:line="240" w:lineRule="auto"/>
        <w:rPr>
          <w:rFonts w:ascii="Times New Roman" w:hAnsi="Times New Roman"/>
          <w:b/>
          <w:sz w:val="28"/>
          <w:szCs w:val="28"/>
        </w:rPr>
      </w:pPr>
      <w:r w:rsidRPr="007A29BF">
        <w:rPr>
          <w:rFonts w:ascii="Times New Roman" w:hAnsi="Times New Roman"/>
          <w:b/>
          <w:sz w:val="28"/>
          <w:szCs w:val="28"/>
        </w:rPr>
        <w:br/>
        <w:t xml:space="preserve">Начальная цена: </w:t>
      </w:r>
      <w:r w:rsidR="003B027D" w:rsidRPr="003B027D">
        <w:rPr>
          <w:rFonts w:ascii="Times New Roman" w:hAnsi="Times New Roman"/>
          <w:b/>
          <w:sz w:val="28"/>
          <w:szCs w:val="28"/>
        </w:rPr>
        <w:t>6 850 629,62</w:t>
      </w:r>
      <w:r w:rsidRPr="007A29BF">
        <w:rPr>
          <w:rFonts w:ascii="Times New Roman" w:hAnsi="Times New Roman"/>
          <w:b/>
          <w:sz w:val="28"/>
          <w:szCs w:val="28"/>
        </w:rPr>
        <w:t xml:space="preserve"> руб</w:t>
      </w:r>
      <w:r>
        <w:rPr>
          <w:rFonts w:ascii="Times New Roman" w:hAnsi="Times New Roman"/>
          <w:b/>
          <w:sz w:val="28"/>
          <w:szCs w:val="28"/>
        </w:rPr>
        <w:t>лей</w:t>
      </w:r>
      <w:r w:rsidR="0065202C" w:rsidRPr="001268B1">
        <w:rPr>
          <w:rFonts w:ascii="Times New Roman" w:hAnsi="Times New Roman"/>
          <w:b/>
          <w:sz w:val="28"/>
          <w:szCs w:val="28"/>
        </w:rPr>
        <w:t>.</w:t>
      </w:r>
    </w:p>
    <w:p w:rsidR="00947718" w:rsidRDefault="00947718" w:rsidP="00F6373B">
      <w:pPr>
        <w:spacing w:after="0" w:line="240" w:lineRule="auto"/>
        <w:jc w:val="both"/>
        <w:rPr>
          <w:rFonts w:ascii="Times New Roman" w:hAnsi="Times New Roman"/>
          <w:b/>
          <w:sz w:val="28"/>
          <w:szCs w:val="28"/>
        </w:rPr>
      </w:pPr>
    </w:p>
    <w:p w:rsidR="00CC385B" w:rsidRDefault="00CC385B" w:rsidP="005E2C39">
      <w:pPr>
        <w:spacing w:after="0" w:line="240" w:lineRule="auto"/>
        <w:ind w:firstLine="708"/>
        <w:rPr>
          <w:rFonts w:ascii="Times New Roman" w:hAnsi="Times New Roman"/>
          <w:b/>
          <w:sz w:val="28"/>
          <w:szCs w:val="28"/>
        </w:rPr>
      </w:pPr>
      <w:r w:rsidRPr="00CC385B">
        <w:rPr>
          <w:rFonts w:ascii="Times New Roman" w:hAnsi="Times New Roman"/>
          <w:b/>
          <w:sz w:val="28"/>
          <w:szCs w:val="28"/>
        </w:rPr>
        <w:t xml:space="preserve">Задаток - </w:t>
      </w:r>
      <w:r w:rsidR="00493D86">
        <w:rPr>
          <w:rFonts w:ascii="Times New Roman" w:hAnsi="Times New Roman"/>
          <w:b/>
          <w:sz w:val="28"/>
          <w:szCs w:val="28"/>
        </w:rPr>
        <w:t>2</w:t>
      </w:r>
      <w:r w:rsidRPr="00CC385B">
        <w:rPr>
          <w:rFonts w:ascii="Times New Roman" w:hAnsi="Times New Roman"/>
          <w:b/>
          <w:sz w:val="28"/>
          <w:szCs w:val="28"/>
        </w:rPr>
        <w:t>0% от начальной цены.</w:t>
      </w:r>
      <w:r w:rsidR="00493D86" w:rsidRPr="00493D86">
        <w:rPr>
          <w:rFonts w:ascii="Times New Roman" w:hAnsi="Times New Roman"/>
          <w:b/>
          <w:sz w:val="28"/>
          <w:szCs w:val="28"/>
        </w:rPr>
        <w:t xml:space="preserve"> </w:t>
      </w:r>
      <w:r w:rsidR="00493D86" w:rsidRPr="00CC385B">
        <w:rPr>
          <w:rFonts w:ascii="Times New Roman" w:hAnsi="Times New Roman"/>
          <w:b/>
          <w:sz w:val="28"/>
          <w:szCs w:val="28"/>
        </w:rPr>
        <w:t>Счет для перечисления задатков: р/с №40702810500000029692, открытый в АО Банк «ПСКБ», г. Санкт-Петербург, БИК 044030852, к/с №30101810000000000852, получатель - ООО «ТРК-Инвест».</w:t>
      </w:r>
    </w:p>
    <w:p w:rsidR="00493D86" w:rsidRDefault="00CC385B" w:rsidP="00493D86">
      <w:pPr>
        <w:spacing w:after="0" w:line="240" w:lineRule="auto"/>
        <w:ind w:firstLine="708"/>
        <w:rPr>
          <w:rFonts w:ascii="Times New Roman" w:hAnsi="Times New Roman"/>
          <w:b/>
          <w:sz w:val="28"/>
          <w:szCs w:val="28"/>
        </w:rPr>
      </w:pPr>
      <w:r w:rsidRPr="00CC385B">
        <w:rPr>
          <w:rFonts w:ascii="Times New Roman" w:hAnsi="Times New Roman"/>
          <w:b/>
          <w:sz w:val="28"/>
          <w:szCs w:val="28"/>
        </w:rPr>
        <w:br/>
      </w:r>
      <w:r w:rsidR="00493D86" w:rsidRPr="00493D86">
        <w:rPr>
          <w:rFonts w:ascii="Times New Roman" w:hAnsi="Times New Roman"/>
          <w:b/>
          <w:sz w:val="28"/>
          <w:szCs w:val="28"/>
        </w:rPr>
        <w:t>Срок, по истечении которого последовательно снижается начальная цена по каждому из лотов, составляет три календарных дня. Величина снижения начальной цены продажи имущества должника по каждому из лотов составляет пятнадцать процентов от начальной цены имущества на протяжении первых четырех интервалов снижения цены. В случае если в течении первых четырех интервалов не было представлено ни одной заявки или не был определен победитель торгов, величина снижения на последующих трех интервалах составляет десять процентов от начальной цены имущества. В случае если по истечении семи прошедших с начала торгов в форме публичного предложения интервалах не было подано ни одной заявки или не был определен победитель торгов величина снижения на последующих интервалах составляет пять процентов от начальной цены имущества. Цена имущества на торгах в форме публичного предложения не может опуститься ниже одной десятой процента от первоначальной цены.</w:t>
      </w:r>
    </w:p>
    <w:p w:rsidR="00CC385B" w:rsidRDefault="00CC385B" w:rsidP="00493D86">
      <w:pPr>
        <w:spacing w:after="0" w:line="240" w:lineRule="auto"/>
        <w:rPr>
          <w:rFonts w:ascii="Times New Roman" w:hAnsi="Times New Roman"/>
          <w:b/>
          <w:sz w:val="28"/>
          <w:szCs w:val="28"/>
        </w:rPr>
      </w:pPr>
      <w:r w:rsidRPr="00CC385B">
        <w:rPr>
          <w:rFonts w:ascii="Times New Roman" w:hAnsi="Times New Roman"/>
          <w:b/>
          <w:sz w:val="28"/>
          <w:szCs w:val="28"/>
        </w:rPr>
        <w:br/>
      </w:r>
      <w:r w:rsidR="00493D86" w:rsidRPr="00493D86">
        <w:rPr>
          <w:rFonts w:ascii="Times New Roman" w:hAnsi="Times New Roman"/>
          <w:b/>
          <w:sz w:val="28"/>
          <w:szCs w:val="28"/>
        </w:rPr>
        <w:t xml:space="preserve">Срок начала приема заявок – 03.06.2024 г. с 09-00 ч. (здесь и далее - время московское). Торги проводятся на электронной площадке «МЭТС» по адресу: </w:t>
      </w:r>
      <w:hyperlink r:id="rId5" w:history="1">
        <w:r w:rsidR="00493D86" w:rsidRPr="00FE28E8">
          <w:rPr>
            <w:rStyle w:val="a3"/>
            <w:rFonts w:ascii="Times New Roman" w:hAnsi="Times New Roman"/>
            <w:b/>
            <w:sz w:val="28"/>
            <w:szCs w:val="28"/>
          </w:rPr>
          <w:t>https://m-ets.ru/</w:t>
        </w:r>
      </w:hyperlink>
      <w:r w:rsidR="00493D86" w:rsidRPr="00493D86">
        <w:rPr>
          <w:rFonts w:ascii="Times New Roman" w:hAnsi="Times New Roman"/>
          <w:b/>
          <w:sz w:val="28"/>
          <w:szCs w:val="28"/>
        </w:rPr>
        <w:t>. Ознакомление участников с документацией, согласование осмотра имущества осуществляется по предварительной записи у организатора торгов в течение срока приема заявок. Победителем торгов признается участник, предложивший наиболее высокую цену в соответствующем периоде, которая не ниже начальной цены продажи имущества должника в указанном периоде. </w:t>
      </w:r>
    </w:p>
    <w:p w:rsidR="00493D86" w:rsidRDefault="00493D86" w:rsidP="005E2C39">
      <w:pPr>
        <w:spacing w:after="0" w:line="240" w:lineRule="auto"/>
        <w:ind w:firstLine="708"/>
        <w:rPr>
          <w:rFonts w:ascii="Times New Roman" w:hAnsi="Times New Roman"/>
          <w:b/>
          <w:sz w:val="28"/>
          <w:szCs w:val="28"/>
        </w:rPr>
      </w:pPr>
    </w:p>
    <w:p w:rsidR="00E241BE" w:rsidRDefault="00DD256C" w:rsidP="005E2C39">
      <w:pPr>
        <w:spacing w:after="0" w:line="240" w:lineRule="auto"/>
        <w:ind w:firstLine="708"/>
        <w:rPr>
          <w:rFonts w:ascii="Times New Roman" w:hAnsi="Times New Roman"/>
          <w:b/>
          <w:sz w:val="28"/>
          <w:szCs w:val="28"/>
        </w:rPr>
      </w:pPr>
      <w:r>
        <w:rPr>
          <w:rFonts w:ascii="Times New Roman" w:hAnsi="Times New Roman"/>
          <w:b/>
          <w:sz w:val="28"/>
          <w:szCs w:val="28"/>
        </w:rPr>
        <w:t>Б</w:t>
      </w:r>
      <w:r w:rsidR="00E241BE">
        <w:rPr>
          <w:rFonts w:ascii="Times New Roman" w:hAnsi="Times New Roman"/>
          <w:b/>
          <w:sz w:val="28"/>
          <w:szCs w:val="28"/>
        </w:rPr>
        <w:t>олее подробная информация по ссылке:</w:t>
      </w:r>
    </w:p>
    <w:p w:rsidR="00493D86" w:rsidRDefault="00493D86" w:rsidP="005E2C39">
      <w:pPr>
        <w:spacing w:after="0" w:line="240" w:lineRule="auto"/>
        <w:ind w:firstLine="708"/>
        <w:rPr>
          <w:rFonts w:ascii="Times New Roman" w:hAnsi="Times New Roman"/>
          <w:b/>
          <w:sz w:val="28"/>
          <w:szCs w:val="28"/>
        </w:rPr>
      </w:pPr>
    </w:p>
    <w:p w:rsidR="00B30947" w:rsidRPr="004E170F" w:rsidRDefault="00794504" w:rsidP="000B1A46">
      <w:pPr>
        <w:spacing w:after="0" w:line="240" w:lineRule="auto"/>
        <w:ind w:firstLine="708"/>
        <w:rPr>
          <w:rFonts w:ascii="Times New Roman" w:hAnsi="Times New Roman"/>
          <w:b/>
          <w:sz w:val="28"/>
          <w:szCs w:val="28"/>
        </w:rPr>
      </w:pPr>
      <w:r w:rsidRPr="00794504">
        <w:rPr>
          <w:rStyle w:val="a3"/>
          <w:rFonts w:ascii="Times New Roman" w:hAnsi="Times New Roman"/>
          <w:b/>
          <w:sz w:val="28"/>
          <w:szCs w:val="28"/>
        </w:rPr>
        <w:t>https://fedresurs.ru/bankruptmessage/e54ee23d307d4d12b78b18d6ca23d9b3</w:t>
      </w:r>
      <w:bookmarkStart w:id="0" w:name="_GoBack"/>
      <w:bookmarkEnd w:id="0"/>
      <w:r w:rsidR="00B30947" w:rsidRPr="004E170F">
        <w:rPr>
          <w:rFonts w:ascii="Times New Roman" w:hAnsi="Times New Roman"/>
          <w:b/>
          <w:sz w:val="28"/>
          <w:szCs w:val="28"/>
        </w:rPr>
        <w:t>.</w:t>
      </w:r>
    </w:p>
    <w:p w:rsidR="003E4D41" w:rsidRDefault="00DB569E" w:rsidP="002022FD">
      <w:pPr>
        <w:spacing w:after="0" w:line="240" w:lineRule="auto"/>
        <w:ind w:firstLine="708"/>
        <w:rPr>
          <w:rFonts w:ascii="Times New Roman" w:hAnsi="Times New Roman"/>
          <w:b/>
          <w:sz w:val="28"/>
          <w:szCs w:val="28"/>
        </w:rPr>
      </w:pPr>
      <w:r>
        <w:rPr>
          <w:rFonts w:ascii="Times New Roman" w:hAnsi="Times New Roman"/>
          <w:b/>
          <w:sz w:val="28"/>
          <w:szCs w:val="28"/>
        </w:rPr>
        <w:t>Д</w:t>
      </w:r>
      <w:r w:rsidR="00276FC7" w:rsidRPr="000B64D5">
        <w:rPr>
          <w:rFonts w:ascii="Times New Roman" w:hAnsi="Times New Roman"/>
          <w:b/>
          <w:sz w:val="28"/>
          <w:szCs w:val="28"/>
        </w:rPr>
        <w:t>ополнительную информацию можно получить в управлении экономического развития Администрации муниципального образования город Новороссийск.</w:t>
      </w:r>
      <w:r w:rsidR="005729D5">
        <w:rPr>
          <w:rFonts w:ascii="Times New Roman" w:hAnsi="Times New Roman"/>
          <w:b/>
          <w:sz w:val="28"/>
          <w:szCs w:val="28"/>
        </w:rPr>
        <w:t xml:space="preserve"> </w:t>
      </w:r>
    </w:p>
    <w:p w:rsidR="00276FC7" w:rsidRPr="009A7B29" w:rsidRDefault="00276FC7" w:rsidP="00920AED">
      <w:pPr>
        <w:spacing w:after="0" w:line="240" w:lineRule="auto"/>
        <w:ind w:firstLine="708"/>
        <w:jc w:val="both"/>
        <w:rPr>
          <w:rFonts w:ascii="Times New Roman" w:hAnsi="Times New Roman"/>
          <w:b/>
          <w:sz w:val="28"/>
          <w:szCs w:val="28"/>
          <w:lang w:val="en-US"/>
        </w:rPr>
      </w:pPr>
      <w:r w:rsidRPr="000B64D5">
        <w:rPr>
          <w:rFonts w:ascii="Times New Roman" w:hAnsi="Times New Roman"/>
          <w:b/>
          <w:sz w:val="28"/>
          <w:szCs w:val="28"/>
        </w:rPr>
        <w:t>Контактный телефон: (8617) 641-932</w:t>
      </w:r>
      <w:r w:rsidR="00920AED">
        <w:rPr>
          <w:rFonts w:ascii="Times New Roman" w:hAnsi="Times New Roman"/>
          <w:b/>
          <w:sz w:val="28"/>
          <w:szCs w:val="28"/>
        </w:rPr>
        <w:t>.</w:t>
      </w:r>
    </w:p>
    <w:sectPr w:rsidR="00276FC7" w:rsidRPr="009A7B29" w:rsidSect="00646A04">
      <w:pgSz w:w="16838" w:h="11906" w:orient="landscape"/>
      <w:pgMar w:top="709" w:right="678"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946"/>
    <w:rsid w:val="00020432"/>
    <w:rsid w:val="000279C2"/>
    <w:rsid w:val="000301E4"/>
    <w:rsid w:val="00043294"/>
    <w:rsid w:val="00043981"/>
    <w:rsid w:val="000844F6"/>
    <w:rsid w:val="00090F49"/>
    <w:rsid w:val="000B1A46"/>
    <w:rsid w:val="000B64D5"/>
    <w:rsid w:val="000B6812"/>
    <w:rsid w:val="000E59EF"/>
    <w:rsid w:val="000E6B95"/>
    <w:rsid w:val="00114F27"/>
    <w:rsid w:val="001246E9"/>
    <w:rsid w:val="001268B1"/>
    <w:rsid w:val="001A2D3F"/>
    <w:rsid w:val="001B5E72"/>
    <w:rsid w:val="001B62AB"/>
    <w:rsid w:val="001C1C37"/>
    <w:rsid w:val="001E4578"/>
    <w:rsid w:val="002022FD"/>
    <w:rsid w:val="0022254E"/>
    <w:rsid w:val="00226E63"/>
    <w:rsid w:val="00231CF9"/>
    <w:rsid w:val="0023759E"/>
    <w:rsid w:val="0025722D"/>
    <w:rsid w:val="00276FC7"/>
    <w:rsid w:val="0028154D"/>
    <w:rsid w:val="00294E64"/>
    <w:rsid w:val="002C10B2"/>
    <w:rsid w:val="002D246A"/>
    <w:rsid w:val="00302587"/>
    <w:rsid w:val="00320946"/>
    <w:rsid w:val="00340E38"/>
    <w:rsid w:val="0038314B"/>
    <w:rsid w:val="003B027D"/>
    <w:rsid w:val="003B5E2A"/>
    <w:rsid w:val="003D2AB9"/>
    <w:rsid w:val="003E4D41"/>
    <w:rsid w:val="004659EC"/>
    <w:rsid w:val="004759E7"/>
    <w:rsid w:val="00493D86"/>
    <w:rsid w:val="004C4C10"/>
    <w:rsid w:val="004C74F9"/>
    <w:rsid w:val="004D03AB"/>
    <w:rsid w:val="004D4AE4"/>
    <w:rsid w:val="004E170F"/>
    <w:rsid w:val="005048B2"/>
    <w:rsid w:val="005210EA"/>
    <w:rsid w:val="00523F19"/>
    <w:rsid w:val="00544126"/>
    <w:rsid w:val="005571BF"/>
    <w:rsid w:val="00561837"/>
    <w:rsid w:val="005729D5"/>
    <w:rsid w:val="00582A47"/>
    <w:rsid w:val="005962AD"/>
    <w:rsid w:val="005B1329"/>
    <w:rsid w:val="005E2C39"/>
    <w:rsid w:val="005E3F6B"/>
    <w:rsid w:val="006024D4"/>
    <w:rsid w:val="00613CBF"/>
    <w:rsid w:val="00646A04"/>
    <w:rsid w:val="0065202C"/>
    <w:rsid w:val="006539FF"/>
    <w:rsid w:val="0066012F"/>
    <w:rsid w:val="00660E44"/>
    <w:rsid w:val="006833A6"/>
    <w:rsid w:val="006E50AE"/>
    <w:rsid w:val="006F17E2"/>
    <w:rsid w:val="006F3329"/>
    <w:rsid w:val="007411AB"/>
    <w:rsid w:val="0075797D"/>
    <w:rsid w:val="00763B1E"/>
    <w:rsid w:val="007730A9"/>
    <w:rsid w:val="00794504"/>
    <w:rsid w:val="007A0EE8"/>
    <w:rsid w:val="007A29BF"/>
    <w:rsid w:val="007A2E78"/>
    <w:rsid w:val="007C5FAF"/>
    <w:rsid w:val="00824479"/>
    <w:rsid w:val="00830361"/>
    <w:rsid w:val="00847B1E"/>
    <w:rsid w:val="00854F6D"/>
    <w:rsid w:val="008802D9"/>
    <w:rsid w:val="008A130C"/>
    <w:rsid w:val="00920AED"/>
    <w:rsid w:val="00947718"/>
    <w:rsid w:val="009505A3"/>
    <w:rsid w:val="00965958"/>
    <w:rsid w:val="00996646"/>
    <w:rsid w:val="009A6D42"/>
    <w:rsid w:val="009A7B29"/>
    <w:rsid w:val="009B54FA"/>
    <w:rsid w:val="009C2CEF"/>
    <w:rsid w:val="009D7527"/>
    <w:rsid w:val="00A26B8A"/>
    <w:rsid w:val="00AB3F42"/>
    <w:rsid w:val="00B061C9"/>
    <w:rsid w:val="00B30947"/>
    <w:rsid w:val="00B544C3"/>
    <w:rsid w:val="00B648DC"/>
    <w:rsid w:val="00B66286"/>
    <w:rsid w:val="00B74B99"/>
    <w:rsid w:val="00BB2EF1"/>
    <w:rsid w:val="00BD3198"/>
    <w:rsid w:val="00BD52D8"/>
    <w:rsid w:val="00BF520D"/>
    <w:rsid w:val="00C576CF"/>
    <w:rsid w:val="00C834BE"/>
    <w:rsid w:val="00C870B3"/>
    <w:rsid w:val="00C954BF"/>
    <w:rsid w:val="00CA6111"/>
    <w:rsid w:val="00CB7CF0"/>
    <w:rsid w:val="00CC1276"/>
    <w:rsid w:val="00CC385B"/>
    <w:rsid w:val="00CD0B12"/>
    <w:rsid w:val="00CD1B0A"/>
    <w:rsid w:val="00CE01C1"/>
    <w:rsid w:val="00D91DAC"/>
    <w:rsid w:val="00DA75C7"/>
    <w:rsid w:val="00DB1954"/>
    <w:rsid w:val="00DB569E"/>
    <w:rsid w:val="00DD23BF"/>
    <w:rsid w:val="00DD256C"/>
    <w:rsid w:val="00DD3DD4"/>
    <w:rsid w:val="00DD5DFF"/>
    <w:rsid w:val="00DD7DCB"/>
    <w:rsid w:val="00DF7F1D"/>
    <w:rsid w:val="00E150B4"/>
    <w:rsid w:val="00E23D08"/>
    <w:rsid w:val="00E241BE"/>
    <w:rsid w:val="00E43528"/>
    <w:rsid w:val="00E56D3C"/>
    <w:rsid w:val="00E847FE"/>
    <w:rsid w:val="00E958FA"/>
    <w:rsid w:val="00EA604F"/>
    <w:rsid w:val="00EA62A3"/>
    <w:rsid w:val="00F05244"/>
    <w:rsid w:val="00F10817"/>
    <w:rsid w:val="00F6373B"/>
    <w:rsid w:val="00F953EF"/>
    <w:rsid w:val="00FD171C"/>
    <w:rsid w:val="00FF1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5CDF5-87E7-4A62-8FFE-FBD8FB1E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946"/>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2D3F"/>
    <w:rPr>
      <w:color w:val="0563C1" w:themeColor="hyperlink"/>
      <w:u w:val="single"/>
    </w:rPr>
  </w:style>
  <w:style w:type="character" w:styleId="a4">
    <w:name w:val="FollowedHyperlink"/>
    <w:basedOn w:val="a0"/>
    <w:uiPriority w:val="99"/>
    <w:semiHidden/>
    <w:unhideWhenUsed/>
    <w:rsid w:val="00DB569E"/>
    <w:rPr>
      <w:color w:val="954F72" w:themeColor="followedHyperlink"/>
      <w:u w:val="single"/>
    </w:rPr>
  </w:style>
  <w:style w:type="paragraph" w:styleId="a5">
    <w:name w:val="List Paragraph"/>
    <w:basedOn w:val="a"/>
    <w:uiPriority w:val="34"/>
    <w:qFormat/>
    <w:rsid w:val="00E958FA"/>
    <w:pPr>
      <w:ind w:left="720"/>
      <w:contextualSpacing/>
    </w:pPr>
  </w:style>
  <w:style w:type="paragraph" w:styleId="a6">
    <w:name w:val="Balloon Text"/>
    <w:basedOn w:val="a"/>
    <w:link w:val="a7"/>
    <w:uiPriority w:val="99"/>
    <w:semiHidden/>
    <w:unhideWhenUsed/>
    <w:rsid w:val="00920A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20AE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700851">
      <w:bodyDiv w:val="1"/>
      <w:marLeft w:val="0"/>
      <w:marRight w:val="0"/>
      <w:marTop w:val="0"/>
      <w:marBottom w:val="0"/>
      <w:divBdr>
        <w:top w:val="none" w:sz="0" w:space="0" w:color="auto"/>
        <w:left w:val="none" w:sz="0" w:space="0" w:color="auto"/>
        <w:bottom w:val="none" w:sz="0" w:space="0" w:color="auto"/>
        <w:right w:val="none" w:sz="0" w:space="0" w:color="auto"/>
      </w:divBdr>
      <w:divsChild>
        <w:div w:id="99086411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ts.ru/" TargetMode="External"/><Relationship Id="rId4" Type="http://schemas.openxmlformats.org/officeDocument/2006/relationships/hyperlink" Target="mailto:trk-invest@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527</Words>
  <Characters>3009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 Ю.П.</dc:creator>
  <cp:keywords/>
  <dc:description/>
  <cp:lastModifiedBy>Гончар Ю.П.</cp:lastModifiedBy>
  <cp:revision>17</cp:revision>
  <cp:lastPrinted>2019-05-13T08:27:00Z</cp:lastPrinted>
  <dcterms:created xsi:type="dcterms:W3CDTF">2023-11-28T12:38:00Z</dcterms:created>
  <dcterms:modified xsi:type="dcterms:W3CDTF">2024-05-31T14:04:00Z</dcterms:modified>
</cp:coreProperties>
</file>