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DD4" w:rsidRPr="001109AF" w:rsidRDefault="001109AF" w:rsidP="00975EFA">
      <w:pPr>
        <w:spacing w:after="0" w:line="240" w:lineRule="auto"/>
        <w:ind w:left="1985" w:right="567"/>
        <w:jc w:val="both"/>
        <w:rPr>
          <w:rFonts w:ascii="Times New Roman" w:hAnsi="Times New Roman" w:cs="Times New Roman"/>
          <w:sz w:val="28"/>
          <w:szCs w:val="28"/>
        </w:rPr>
      </w:pPr>
      <w:r w:rsidRPr="001109AF"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:rsidR="00C76DD4" w:rsidRDefault="00C76DD4" w:rsidP="00781F07">
      <w:pPr>
        <w:spacing w:after="0" w:line="240" w:lineRule="auto"/>
        <w:ind w:left="1985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781F07" w:rsidRPr="00781F07" w:rsidRDefault="00781F07" w:rsidP="00781F07">
      <w:pPr>
        <w:spacing w:after="0" w:line="240" w:lineRule="auto"/>
        <w:ind w:left="1985" w:right="567"/>
        <w:jc w:val="center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ДОКЛАД</w:t>
      </w:r>
    </w:p>
    <w:p w:rsidR="00781F07" w:rsidRPr="00781F07" w:rsidRDefault="00781F07" w:rsidP="00781F07">
      <w:pPr>
        <w:spacing w:after="0" w:line="240" w:lineRule="auto"/>
        <w:ind w:left="1985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781F07" w:rsidRPr="00781F07" w:rsidRDefault="002E511F" w:rsidP="00781F07">
      <w:pPr>
        <w:spacing w:after="0" w:line="240" w:lineRule="auto"/>
        <w:ind w:left="1985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781F07" w:rsidRPr="00781F07">
        <w:rPr>
          <w:rFonts w:ascii="Times New Roman" w:hAnsi="Times New Roman" w:cs="Times New Roman"/>
          <w:sz w:val="28"/>
          <w:szCs w:val="28"/>
        </w:rPr>
        <w:t xml:space="preserve"> результатах обобщения правоприменительной практики при</w:t>
      </w:r>
    </w:p>
    <w:p w:rsidR="00781F07" w:rsidRPr="00781F07" w:rsidRDefault="00781F07" w:rsidP="00781F07">
      <w:pPr>
        <w:spacing w:after="0" w:line="240" w:lineRule="auto"/>
        <w:ind w:left="1985" w:right="567"/>
        <w:jc w:val="center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осуществлении</w:t>
      </w:r>
      <w:r w:rsidR="00EB26F5">
        <w:rPr>
          <w:rFonts w:ascii="Times New Roman" w:hAnsi="Times New Roman" w:cs="Times New Roman"/>
          <w:sz w:val="28"/>
          <w:szCs w:val="28"/>
        </w:rPr>
        <w:t xml:space="preserve"> контрольно-ревизионным </w:t>
      </w:r>
      <w:r w:rsidRPr="00781F07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EB26F5">
        <w:rPr>
          <w:rFonts w:ascii="Times New Roman" w:hAnsi="Times New Roman" w:cs="Times New Roman"/>
          <w:sz w:val="28"/>
          <w:szCs w:val="28"/>
        </w:rPr>
        <w:t>а</w:t>
      </w:r>
      <w:r w:rsidRPr="00781F07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Новороссийск</w:t>
      </w:r>
      <w:r w:rsidRPr="00781F07">
        <w:rPr>
          <w:rFonts w:ascii="Times New Roman" w:hAnsi="Times New Roman" w:cs="Times New Roman"/>
          <w:sz w:val="28"/>
          <w:szCs w:val="28"/>
        </w:rPr>
        <w:t xml:space="preserve"> регионального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F07">
        <w:rPr>
          <w:rFonts w:ascii="Times New Roman" w:hAnsi="Times New Roman" w:cs="Times New Roman"/>
          <w:sz w:val="28"/>
          <w:szCs w:val="28"/>
        </w:rPr>
        <w:t>строительного надзора</w:t>
      </w:r>
      <w:r w:rsidR="00EB26F5">
        <w:rPr>
          <w:rFonts w:ascii="Times New Roman" w:hAnsi="Times New Roman" w:cs="Times New Roman"/>
          <w:sz w:val="28"/>
          <w:szCs w:val="28"/>
        </w:rPr>
        <w:t xml:space="preserve"> в случаях, предусмотренных частью 2 статьи 54 Градостроительного кодекса Российской Федерации</w:t>
      </w:r>
      <w:r w:rsidRPr="00781F07">
        <w:rPr>
          <w:rFonts w:ascii="Times New Roman" w:hAnsi="Times New Roman" w:cs="Times New Roman"/>
          <w:sz w:val="28"/>
          <w:szCs w:val="28"/>
        </w:rPr>
        <w:t xml:space="preserve"> за 202</w:t>
      </w:r>
      <w:r w:rsidR="001109AF" w:rsidRPr="00D31983">
        <w:rPr>
          <w:rFonts w:ascii="Times New Roman" w:hAnsi="Times New Roman" w:cs="Times New Roman"/>
          <w:sz w:val="28"/>
          <w:szCs w:val="28"/>
        </w:rPr>
        <w:t>3</w:t>
      </w:r>
      <w:r w:rsidRPr="00781F07">
        <w:rPr>
          <w:rFonts w:ascii="Times New Roman" w:hAnsi="Times New Roman" w:cs="Times New Roman"/>
          <w:sz w:val="28"/>
          <w:szCs w:val="28"/>
        </w:rPr>
        <w:t xml:space="preserve"> год</w:t>
      </w:r>
      <w:r w:rsidR="002E511F">
        <w:rPr>
          <w:rFonts w:ascii="Times New Roman" w:hAnsi="Times New Roman" w:cs="Times New Roman"/>
          <w:sz w:val="28"/>
          <w:szCs w:val="28"/>
        </w:rPr>
        <w:t>»</w:t>
      </w:r>
    </w:p>
    <w:p w:rsidR="00781F07" w:rsidRPr="00781F07" w:rsidRDefault="00781F07" w:rsidP="00781F07">
      <w:pPr>
        <w:spacing w:after="0" w:line="240" w:lineRule="auto"/>
        <w:ind w:left="1985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781F07" w:rsidRPr="00781F07" w:rsidRDefault="00781F07" w:rsidP="006A6A35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 xml:space="preserve">Настоящий доклад о результатах обобщения правоприменительной практики при осуществлении </w:t>
      </w:r>
      <w:r w:rsidR="006A6A35">
        <w:rPr>
          <w:rFonts w:ascii="Times New Roman" w:hAnsi="Times New Roman" w:cs="Times New Roman"/>
          <w:sz w:val="28"/>
          <w:szCs w:val="28"/>
        </w:rPr>
        <w:t xml:space="preserve">контрольно-ревизионным </w:t>
      </w:r>
      <w:r w:rsidRPr="00781F07">
        <w:rPr>
          <w:rFonts w:ascii="Times New Roman" w:hAnsi="Times New Roman" w:cs="Times New Roman"/>
          <w:sz w:val="28"/>
          <w:szCs w:val="28"/>
        </w:rPr>
        <w:t xml:space="preserve">управлением администрации муниципального образования город </w:t>
      </w:r>
      <w:r w:rsidR="006A6A35">
        <w:rPr>
          <w:rFonts w:ascii="Times New Roman" w:hAnsi="Times New Roman" w:cs="Times New Roman"/>
          <w:sz w:val="28"/>
          <w:szCs w:val="28"/>
        </w:rPr>
        <w:t>Новороссийск</w:t>
      </w:r>
      <w:r w:rsidRPr="00781F07">
        <w:rPr>
          <w:rFonts w:ascii="Times New Roman" w:hAnsi="Times New Roman" w:cs="Times New Roman"/>
          <w:sz w:val="28"/>
          <w:szCs w:val="28"/>
        </w:rPr>
        <w:t xml:space="preserve"> (далее – Управление) от имени администрации муниципального образования город </w:t>
      </w:r>
      <w:r w:rsidR="006A6A35">
        <w:rPr>
          <w:rFonts w:ascii="Times New Roman" w:hAnsi="Times New Roman" w:cs="Times New Roman"/>
          <w:sz w:val="28"/>
          <w:szCs w:val="28"/>
        </w:rPr>
        <w:t>Новороссийск</w:t>
      </w:r>
      <w:r w:rsidRPr="00781F07">
        <w:rPr>
          <w:rFonts w:ascii="Times New Roman" w:hAnsi="Times New Roman" w:cs="Times New Roman"/>
          <w:sz w:val="28"/>
          <w:szCs w:val="28"/>
        </w:rPr>
        <w:t xml:space="preserve"> регионального государственного строительного надзора</w:t>
      </w:r>
      <w:r w:rsidR="00EB26F5">
        <w:rPr>
          <w:rFonts w:ascii="Times New Roman" w:hAnsi="Times New Roman" w:cs="Times New Roman"/>
          <w:sz w:val="28"/>
          <w:szCs w:val="28"/>
        </w:rPr>
        <w:t xml:space="preserve"> в случаях, предусмотренных частью 2 статьи 54 Градостроительного кодекса Российской Федерации</w:t>
      </w:r>
      <w:r w:rsidR="00EB26F5" w:rsidRPr="00781F07">
        <w:rPr>
          <w:rFonts w:ascii="Times New Roman" w:hAnsi="Times New Roman" w:cs="Times New Roman"/>
          <w:sz w:val="28"/>
          <w:szCs w:val="28"/>
        </w:rPr>
        <w:t xml:space="preserve"> </w:t>
      </w:r>
      <w:r w:rsidRPr="00781F07">
        <w:rPr>
          <w:rFonts w:ascii="Times New Roman" w:hAnsi="Times New Roman" w:cs="Times New Roman"/>
          <w:sz w:val="28"/>
          <w:szCs w:val="28"/>
        </w:rPr>
        <w:t>подготовлен за период: август - декабрь 2022 года, во исполнение статьи 47 Федерального закона от 31.07.2020 № 248-ФЗ «О государственном контроле (надзоре) и муниципальном контроле в Российской Федерации» (далее – Федерального закона № 248-ФЗ).</w:t>
      </w:r>
    </w:p>
    <w:p w:rsidR="00781F07" w:rsidRPr="00781F07" w:rsidRDefault="00781F07" w:rsidP="006A6A35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Порядок организации работы контрольно-надзорной деятельности Управления устанавливается:</w:t>
      </w:r>
    </w:p>
    <w:p w:rsidR="00781F07" w:rsidRPr="00781F07" w:rsidRDefault="00781F07" w:rsidP="006A6A35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Федеральным законом № 248-ФЗ;</w:t>
      </w:r>
    </w:p>
    <w:p w:rsidR="00781F07" w:rsidRPr="00781F07" w:rsidRDefault="00781F07" w:rsidP="006A6A35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 от 29.12.2004 № 190-ФЗ;</w:t>
      </w:r>
    </w:p>
    <w:p w:rsidR="00781F07" w:rsidRPr="00781F07" w:rsidRDefault="00781F07" w:rsidP="006A6A35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Постановлением Правительства РФ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28.04.2015 № 415»;</w:t>
      </w:r>
    </w:p>
    <w:p w:rsidR="00781F07" w:rsidRPr="00781F07" w:rsidRDefault="00781F07" w:rsidP="006A6A35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 (вместе с «Правилами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контроля», «Требованиями к информационному взаимодействию информационных систем, указанных в частях 1 и 2 статьи 17 Федерального закона «О государственном контроле (надзоре) и муниципальном контроле в Российской Федерации»);</w:t>
      </w:r>
    </w:p>
    <w:p w:rsidR="00781F07" w:rsidRPr="00781F07" w:rsidRDefault="00781F07" w:rsidP="006A6A35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25.06.2021 № 990 «Об утверждении Правил разработки и утверждения контрольными (надзорными) </w:t>
      </w:r>
      <w:r w:rsidRPr="00781F07">
        <w:rPr>
          <w:rFonts w:ascii="Times New Roman" w:hAnsi="Times New Roman" w:cs="Times New Roman"/>
          <w:sz w:val="28"/>
          <w:szCs w:val="28"/>
        </w:rPr>
        <w:lastRenderedPageBreak/>
        <w:t>органами программы профилактики рисков причинения вреда (ущерба) охраняемым законом ценностям»;</w:t>
      </w:r>
    </w:p>
    <w:p w:rsidR="00781F07" w:rsidRPr="00781F07" w:rsidRDefault="00781F07" w:rsidP="006A6A35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Постановлением Правительства РФ от 07.12.2020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Федерации»;</w:t>
      </w:r>
    </w:p>
    <w:p w:rsidR="00781F07" w:rsidRPr="00781F07" w:rsidRDefault="00781F07" w:rsidP="006A6A35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контроля»;</w:t>
      </w:r>
    </w:p>
    <w:p w:rsidR="00781F07" w:rsidRPr="00781F07" w:rsidRDefault="00781F07" w:rsidP="006A6A35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Постановлением Правительства РФ от 01.12.2021 № 2161 «Об утверждении общих требований к организации и осуществлению регионального государственного строительного надзора, внесении изменений в постановление Правительства Российской Федерации от 30.06.2021 № 1087 и признании утратившими силу некоторых актов Правительства Российской Федерации"</w:t>
      </w:r>
    </w:p>
    <w:p w:rsidR="00781F07" w:rsidRPr="00781F07" w:rsidRDefault="00781F07" w:rsidP="006A6A35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Приказом Генеральной прокуратуры Российской федерации от 02.06.2021 № 294 «О реализации Федерального закона от 31.07.2020 № 248-ФЗ «О государственном контроле (надзоре) и муниципальном контроле в Российской Федерации» (далее – Приказ № 294);</w:t>
      </w:r>
    </w:p>
    <w:p w:rsidR="00781F07" w:rsidRPr="00781F07" w:rsidRDefault="00781F07" w:rsidP="006A6A35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Законом Краснодарского края от 08.06.2022 № 4684-КЗ «О наделении органов местного самоуправления в Краснодарском крае отдельным государственным полномочием Краснодарского края по осуществлению регионального государственного строительного надзора в случаях, предусмотренных частью 2 статьи 54 Градостроительного кодекса Российской Федерации»;</w:t>
      </w:r>
    </w:p>
    <w:p w:rsidR="00781F07" w:rsidRPr="00781F07" w:rsidRDefault="00781F07" w:rsidP="006A6A35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Распоряжением главы администрации (губернатора) Краснодарского края от 21.12.2018 № 352-р «О мерах по предотвращению и пресечению самовольного строительства на территории Краснодарского края»;</w:t>
      </w:r>
    </w:p>
    <w:p w:rsidR="00781F07" w:rsidRPr="00781F07" w:rsidRDefault="00781F07" w:rsidP="006A6A35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30.12.2021 № 1021 «Об утверждении Положения о региональном государственном строительном надзоре»;</w:t>
      </w:r>
    </w:p>
    <w:p w:rsidR="001109AF" w:rsidRDefault="001109AF" w:rsidP="006A6A35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109AF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 Новороссийск № 4344 от 14.09.2023 «Об утверждении Положения о контрольно-ревизионном управлении администрации муниципального образования город Новороссийск и о признании утратившими силу некоторых постановлений администрации муниципального образования город Новороссийск»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1F07" w:rsidRDefault="00781F07" w:rsidP="007D005C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город </w:t>
      </w:r>
      <w:r w:rsidR="007D005C">
        <w:rPr>
          <w:rFonts w:ascii="Times New Roman" w:hAnsi="Times New Roman" w:cs="Times New Roman"/>
          <w:sz w:val="28"/>
          <w:szCs w:val="28"/>
        </w:rPr>
        <w:t>Новороссийск</w:t>
      </w:r>
      <w:r w:rsidRPr="00781F07">
        <w:rPr>
          <w:rFonts w:ascii="Times New Roman" w:hAnsi="Times New Roman" w:cs="Times New Roman"/>
          <w:sz w:val="28"/>
          <w:szCs w:val="28"/>
        </w:rPr>
        <w:t xml:space="preserve"> от </w:t>
      </w:r>
      <w:r w:rsidR="007D005C">
        <w:rPr>
          <w:rFonts w:ascii="Times New Roman" w:hAnsi="Times New Roman" w:cs="Times New Roman"/>
          <w:sz w:val="28"/>
          <w:szCs w:val="28"/>
        </w:rPr>
        <w:t>15.12</w:t>
      </w:r>
      <w:r w:rsidRPr="00781F07">
        <w:rPr>
          <w:rFonts w:ascii="Times New Roman" w:hAnsi="Times New Roman" w:cs="Times New Roman"/>
          <w:sz w:val="28"/>
          <w:szCs w:val="28"/>
        </w:rPr>
        <w:t xml:space="preserve">.2022 № </w:t>
      </w:r>
      <w:r w:rsidR="007D005C">
        <w:rPr>
          <w:rFonts w:ascii="Times New Roman" w:hAnsi="Times New Roman" w:cs="Times New Roman"/>
          <w:sz w:val="28"/>
          <w:szCs w:val="28"/>
        </w:rPr>
        <w:t>7345</w:t>
      </w:r>
      <w:r w:rsidRPr="00781F07">
        <w:rPr>
          <w:rFonts w:ascii="Times New Roman" w:hAnsi="Times New Roman" w:cs="Times New Roman"/>
          <w:sz w:val="28"/>
          <w:szCs w:val="28"/>
        </w:rPr>
        <w:t xml:space="preserve"> </w:t>
      </w:r>
      <w:r w:rsidR="0091406A">
        <w:rPr>
          <w:rFonts w:ascii="Times New Roman" w:hAnsi="Times New Roman" w:cs="Times New Roman"/>
          <w:sz w:val="28"/>
          <w:szCs w:val="28"/>
        </w:rPr>
        <w:t>«</w:t>
      </w:r>
      <w:r w:rsidR="007D005C" w:rsidRPr="007D005C">
        <w:rPr>
          <w:rFonts w:ascii="Times New Roman" w:hAnsi="Times New Roman" w:cs="Times New Roman"/>
          <w:sz w:val="28"/>
          <w:szCs w:val="28"/>
        </w:rPr>
        <w:t xml:space="preserve">Об утверждении форм документов, используемых при осуществлении муниципального земельного контроля и отдельного государственного полномочия Краснодарского края по осуществлению регионального государственного строительного надзора в случаях, предусмотренных частью 2 статьи 54 Градостроительного кодекса </w:t>
      </w:r>
      <w:r w:rsidR="007D005C" w:rsidRPr="007D005C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на территории муниципального образования город Новороссийск</w:t>
      </w:r>
      <w:r w:rsidR="007D005C">
        <w:rPr>
          <w:rFonts w:ascii="Times New Roman" w:hAnsi="Times New Roman" w:cs="Times New Roman"/>
          <w:sz w:val="28"/>
          <w:szCs w:val="28"/>
        </w:rPr>
        <w:t>»</w:t>
      </w:r>
      <w:r w:rsidR="001109AF">
        <w:rPr>
          <w:rFonts w:ascii="Times New Roman" w:hAnsi="Times New Roman" w:cs="Times New Roman"/>
          <w:sz w:val="28"/>
          <w:szCs w:val="28"/>
        </w:rPr>
        <w:t>;</w:t>
      </w:r>
    </w:p>
    <w:p w:rsidR="001109AF" w:rsidRPr="00781F07" w:rsidRDefault="001109AF" w:rsidP="007D005C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109AF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город Новороссийск № 5109 от 26.10.2023 «О внесении изменений в постановление администрации муниципального образования город Новороссийск от 15 декабря 2022 года № 7345 «Об утверждении форм документов, используемых при осуществлении муниципального земельного контроля и отдельного государственного полномочия Краснодарского края по осуществлению регионального государственного строительного надзора в случаях, предусмотренных частью 2 статьи 54 Градостроительного кодекса Российской Федерации, на территории муниципального образования город Новороссийск»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A35" w:rsidRDefault="006A6A35" w:rsidP="00781F07">
      <w:pPr>
        <w:spacing w:after="0" w:line="240" w:lineRule="auto"/>
        <w:ind w:left="1985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781F07" w:rsidRPr="00781F07" w:rsidRDefault="00781F07" w:rsidP="006A6A35">
      <w:pPr>
        <w:spacing w:after="0" w:line="240" w:lineRule="auto"/>
        <w:ind w:left="1985" w:right="567"/>
        <w:jc w:val="center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81F07" w:rsidRPr="00781F07" w:rsidRDefault="00781F07" w:rsidP="00781F07">
      <w:pPr>
        <w:spacing w:after="0" w:line="240" w:lineRule="auto"/>
        <w:ind w:left="1985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781F07" w:rsidRPr="00781F07" w:rsidRDefault="00781F07" w:rsidP="00E4460E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Доклад подготовлен в целях предупреждения нарушений юридическими лицами, индивидуальными предпринимателями и гражданами обязательных требований при строительстве (реконструкции) объектов капитального строительства, проверка соблюдения которых является предметом регионального государственного строительного надзора (далее – РГСН), устранения причин, факторов и условий, способствующих нарушениям обязательных требований.</w:t>
      </w:r>
    </w:p>
    <w:p w:rsidR="00781F07" w:rsidRPr="00781F07" w:rsidRDefault="00781F07" w:rsidP="00E4460E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 xml:space="preserve">Управление является органом местного самоуправления, наделённым отдельным государственным полномочием Краснодарского края по осуществлению РГСН в случаях, предусмотренных частью 2 статьи 54 Градостроительного кодекса Российской Федерации (далее – Градостроительный кодекс РФ, </w:t>
      </w:r>
      <w:proofErr w:type="spellStart"/>
      <w:r w:rsidRPr="00781F0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781F07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781F07" w:rsidRPr="00781F07" w:rsidRDefault="00781F07" w:rsidP="00E4460E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 xml:space="preserve">Управление уполномочено на осуществление РГСН за строительством, реконструкцией объектов капитального строительства, если при их строительстве, реконструкции </w:t>
      </w:r>
      <w:proofErr w:type="spellStart"/>
      <w:r w:rsidRPr="00781F0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781F07">
        <w:rPr>
          <w:rFonts w:ascii="Times New Roman" w:hAnsi="Times New Roman" w:cs="Times New Roman"/>
          <w:sz w:val="28"/>
          <w:szCs w:val="28"/>
        </w:rPr>
        <w:t xml:space="preserve"> РФ предусмотрено осуществление РГСН, несоответствия объекта капитального строительства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 Решением городской Думы </w:t>
      </w:r>
      <w:r w:rsidR="00E4460E" w:rsidRPr="00E4460E">
        <w:rPr>
          <w:rFonts w:ascii="Times New Roman" w:hAnsi="Times New Roman" w:cs="Times New Roman"/>
          <w:sz w:val="28"/>
          <w:szCs w:val="28"/>
        </w:rPr>
        <w:t xml:space="preserve">Новороссийск от 23.12.2014 </w:t>
      </w:r>
      <w:r w:rsidR="00E4460E">
        <w:rPr>
          <w:rFonts w:ascii="Times New Roman" w:hAnsi="Times New Roman" w:cs="Times New Roman"/>
          <w:sz w:val="28"/>
          <w:szCs w:val="28"/>
        </w:rPr>
        <w:t>№</w:t>
      </w:r>
      <w:r w:rsidR="00E4460E" w:rsidRPr="00E4460E">
        <w:rPr>
          <w:rFonts w:ascii="Times New Roman" w:hAnsi="Times New Roman" w:cs="Times New Roman"/>
          <w:sz w:val="28"/>
          <w:szCs w:val="28"/>
        </w:rPr>
        <w:t xml:space="preserve"> 439</w:t>
      </w:r>
      <w:r w:rsidR="00E4460E">
        <w:rPr>
          <w:rFonts w:ascii="Times New Roman" w:hAnsi="Times New Roman" w:cs="Times New Roman"/>
          <w:sz w:val="28"/>
          <w:szCs w:val="28"/>
        </w:rPr>
        <w:t xml:space="preserve"> «</w:t>
      </w:r>
      <w:r w:rsidR="00E4460E" w:rsidRPr="00E4460E">
        <w:rPr>
          <w:rFonts w:ascii="Times New Roman" w:hAnsi="Times New Roman" w:cs="Times New Roman"/>
          <w:sz w:val="28"/>
          <w:szCs w:val="28"/>
        </w:rPr>
        <w:t>Об утверждении Правил землепользования и застройки городского округа муниципального образования город Новороссийск</w:t>
      </w:r>
      <w:r w:rsidR="00E4460E">
        <w:rPr>
          <w:rFonts w:ascii="Times New Roman" w:hAnsi="Times New Roman" w:cs="Times New Roman"/>
          <w:sz w:val="28"/>
          <w:szCs w:val="28"/>
        </w:rPr>
        <w:t>»</w:t>
      </w:r>
      <w:r w:rsidR="002504E1">
        <w:rPr>
          <w:rFonts w:ascii="Times New Roman" w:hAnsi="Times New Roman" w:cs="Times New Roman"/>
          <w:sz w:val="28"/>
          <w:szCs w:val="28"/>
        </w:rPr>
        <w:t>.</w:t>
      </w:r>
    </w:p>
    <w:p w:rsidR="00781F07" w:rsidRPr="00781F07" w:rsidRDefault="00781F07" w:rsidP="00E4460E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 xml:space="preserve">Предметом РГСН в отношении объектов капитального строительства, указанных в части 2 статьи 54 </w:t>
      </w:r>
      <w:proofErr w:type="spellStart"/>
      <w:r w:rsidRPr="00781F0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781F07">
        <w:rPr>
          <w:rFonts w:ascii="Times New Roman" w:hAnsi="Times New Roman" w:cs="Times New Roman"/>
          <w:sz w:val="28"/>
          <w:szCs w:val="28"/>
        </w:rPr>
        <w:t xml:space="preserve"> РФ, является соблюдение требований, установленных частью 4 статьи 54 </w:t>
      </w:r>
      <w:proofErr w:type="spellStart"/>
      <w:r w:rsidRPr="00781F0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781F07">
        <w:rPr>
          <w:rFonts w:ascii="Times New Roman" w:hAnsi="Times New Roman" w:cs="Times New Roman"/>
          <w:sz w:val="28"/>
          <w:szCs w:val="28"/>
        </w:rPr>
        <w:t xml:space="preserve"> РФ:</w:t>
      </w:r>
    </w:p>
    <w:p w:rsidR="00781F07" w:rsidRPr="00781F07" w:rsidRDefault="00781F07" w:rsidP="00E4460E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требований наличия разрешения на строительство и соответствия объекта капитального строительства параметрам, указанным в разрешении на строительство, если разрешение на строительство требуется для строительства или реконструкции объекта капитального строительства;</w:t>
      </w:r>
    </w:p>
    <w:p w:rsidR="00781F07" w:rsidRDefault="00781F07" w:rsidP="00E4460E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 xml:space="preserve">соответствия параметров объектов капитального строительства предельным параметрам разрешенного строительства, реконструкции </w:t>
      </w:r>
      <w:r w:rsidRPr="00781F07">
        <w:rPr>
          <w:rFonts w:ascii="Times New Roman" w:hAnsi="Times New Roman" w:cs="Times New Roman"/>
          <w:sz w:val="28"/>
          <w:szCs w:val="28"/>
        </w:rPr>
        <w:lastRenderedPageBreak/>
        <w:t>объектов капитального строительства, установленным правилами землепользования и застройки, единым документом, документацией по планировке территории, и обязательным требованиям к параметрам объектов капитального строительства, установленным настоящим Кодексом, другими федеральными законами, если для строительства или реконструкции объекта капитального строительства не требуется разрешение на строительство.</w:t>
      </w:r>
    </w:p>
    <w:p w:rsidR="007B68B4" w:rsidRPr="00781F07" w:rsidRDefault="007B68B4" w:rsidP="00E4460E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781F07" w:rsidRPr="00781F07" w:rsidRDefault="00781F07" w:rsidP="007B68B4">
      <w:pPr>
        <w:spacing w:after="0" w:line="240" w:lineRule="auto"/>
        <w:ind w:left="1985" w:right="567"/>
        <w:jc w:val="center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2. Основные статистические данные о проведенных</w:t>
      </w:r>
    </w:p>
    <w:p w:rsidR="00781F07" w:rsidRPr="00781F07" w:rsidRDefault="00781F07" w:rsidP="007B68B4">
      <w:pPr>
        <w:spacing w:after="0" w:line="240" w:lineRule="auto"/>
        <w:ind w:left="1985" w:right="567"/>
        <w:jc w:val="center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контрольных (надзорных) мероприятиях</w:t>
      </w:r>
    </w:p>
    <w:p w:rsidR="00781F07" w:rsidRPr="00781F07" w:rsidRDefault="00781F07" w:rsidP="00781F07">
      <w:pPr>
        <w:spacing w:after="0" w:line="240" w:lineRule="auto"/>
        <w:ind w:left="1985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781F07" w:rsidRPr="00781F07" w:rsidRDefault="00781F07" w:rsidP="007B68B4">
      <w:pPr>
        <w:tabs>
          <w:tab w:val="left" w:pos="11339"/>
        </w:tabs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 xml:space="preserve">Контрольные </w:t>
      </w:r>
      <w:r w:rsidR="007B68B4">
        <w:rPr>
          <w:rFonts w:ascii="Times New Roman" w:hAnsi="Times New Roman" w:cs="Times New Roman"/>
          <w:sz w:val="28"/>
          <w:szCs w:val="28"/>
        </w:rPr>
        <w:t xml:space="preserve">(надзорные) </w:t>
      </w:r>
      <w:r w:rsidRPr="00781F07">
        <w:rPr>
          <w:rFonts w:ascii="Times New Roman" w:hAnsi="Times New Roman" w:cs="Times New Roman"/>
          <w:sz w:val="28"/>
          <w:szCs w:val="28"/>
        </w:rPr>
        <w:t>мероприятия с взаимодействием с контролируемым лицом в 202</w:t>
      </w:r>
      <w:r w:rsidR="002504E1">
        <w:rPr>
          <w:rFonts w:ascii="Times New Roman" w:hAnsi="Times New Roman" w:cs="Times New Roman"/>
          <w:sz w:val="28"/>
          <w:szCs w:val="28"/>
        </w:rPr>
        <w:t>3</w:t>
      </w:r>
      <w:r w:rsidRPr="00781F07">
        <w:rPr>
          <w:rFonts w:ascii="Times New Roman" w:hAnsi="Times New Roman" w:cs="Times New Roman"/>
          <w:sz w:val="28"/>
          <w:szCs w:val="28"/>
        </w:rPr>
        <w:t xml:space="preserve"> году Управлением не проводились. В органы прокуратуры в соответствии с Приказом Генеральной прокуратуры Российской Федерации от 02.06.2021 № 294 «О реализации Федерального закона от 31.07.2020 № 248-ФЗ «О государственном контроле (надзоре) и муниципальном контроле в Российской Федерации» решения о проведении мероприятий с взаимодействием с контролируемым лицом не направлялись.</w:t>
      </w:r>
    </w:p>
    <w:p w:rsidR="00781F07" w:rsidRPr="00781F07" w:rsidRDefault="00781F07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Жалобы в рамках досудебного обжалования на решения Управления, действий (бездействия) его должностных лиц, не поступали.</w:t>
      </w:r>
    </w:p>
    <w:p w:rsidR="002E00DE" w:rsidRDefault="002E00DE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E00DE">
        <w:rPr>
          <w:rFonts w:ascii="Times New Roman" w:hAnsi="Times New Roman" w:cs="Times New Roman"/>
          <w:sz w:val="28"/>
          <w:szCs w:val="28"/>
        </w:rPr>
        <w:t xml:space="preserve">Управлением в 2023 году в части РГСН на основании заданий руководителя (заместителя руководителя) проведено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E00DE">
        <w:rPr>
          <w:rFonts w:ascii="Times New Roman" w:hAnsi="Times New Roman" w:cs="Times New Roman"/>
          <w:sz w:val="28"/>
          <w:szCs w:val="28"/>
        </w:rPr>
        <w:t xml:space="preserve">3 контрольных (надзорных) мероприятия, осуществляемых без взаимодействия с контролируемым лицом. </w:t>
      </w:r>
    </w:p>
    <w:p w:rsidR="00781F07" w:rsidRPr="00781F07" w:rsidRDefault="00781F07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При осуществлении РГСН Управлением проводятся следующие виды профилактических мероприятий:</w:t>
      </w:r>
    </w:p>
    <w:p w:rsidR="00781F07" w:rsidRPr="00781F07" w:rsidRDefault="00781F07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781F07" w:rsidRPr="00781F07" w:rsidRDefault="00781F07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обобщение правоприменительной практики;</w:t>
      </w:r>
    </w:p>
    <w:p w:rsidR="00781F07" w:rsidRPr="00781F07" w:rsidRDefault="00781F07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объявление предостережения;</w:t>
      </w:r>
    </w:p>
    <w:p w:rsidR="00781F07" w:rsidRPr="00781F07" w:rsidRDefault="00781F07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консультирование;</w:t>
      </w:r>
    </w:p>
    <w:p w:rsidR="00781F07" w:rsidRPr="00781F07" w:rsidRDefault="00781F07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профилактический визит.</w:t>
      </w:r>
    </w:p>
    <w:p w:rsidR="00781F07" w:rsidRPr="00781F07" w:rsidRDefault="00781F07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Целями проведения профилактических мероприятий являются:</w:t>
      </w:r>
    </w:p>
    <w:p w:rsidR="00781F07" w:rsidRPr="00781F07" w:rsidRDefault="007B68B4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F07" w:rsidRPr="00781F07">
        <w:rPr>
          <w:rFonts w:ascii="Times New Roman" w:hAnsi="Times New Roman" w:cs="Times New Roman"/>
          <w:sz w:val="28"/>
          <w:szCs w:val="28"/>
        </w:rPr>
        <w:t>повышение открытости и прозрачности системы РГСН;</w:t>
      </w:r>
    </w:p>
    <w:p w:rsidR="00781F07" w:rsidRPr="00781F07" w:rsidRDefault="007B68B4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F07" w:rsidRPr="00781F07">
        <w:rPr>
          <w:rFonts w:ascii="Times New Roman" w:hAnsi="Times New Roman" w:cs="Times New Roman"/>
          <w:sz w:val="28"/>
          <w:szCs w:val="28"/>
        </w:rPr>
        <w:t>предупреждение нарушений контролируемыми лицами требований законодательства, включая устранение причин, факторов и условий, способствующих возможному нарушению требований законодательства;</w:t>
      </w:r>
    </w:p>
    <w:p w:rsidR="00781F07" w:rsidRPr="00781F07" w:rsidRDefault="007B68B4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F07" w:rsidRPr="00781F07">
        <w:rPr>
          <w:rFonts w:ascii="Times New Roman" w:hAnsi="Times New Roman" w:cs="Times New Roman"/>
          <w:sz w:val="28"/>
          <w:szCs w:val="28"/>
        </w:rPr>
        <w:t>мотивация к добросовестному поведению и, как следствие, снижение уровня вреда (ущерба) охраняемым законом ценностям;</w:t>
      </w:r>
    </w:p>
    <w:p w:rsidR="00781F07" w:rsidRPr="00781F07" w:rsidRDefault="007B68B4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F07" w:rsidRPr="00781F07">
        <w:rPr>
          <w:rFonts w:ascii="Times New Roman" w:hAnsi="Times New Roman" w:cs="Times New Roman"/>
          <w:sz w:val="28"/>
          <w:szCs w:val="28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781F07" w:rsidRPr="00781F07" w:rsidRDefault="007B68B4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F07" w:rsidRPr="00781F07">
        <w:rPr>
          <w:rFonts w:ascii="Times New Roman" w:hAnsi="Times New Roman" w:cs="Times New Roman"/>
          <w:sz w:val="28"/>
          <w:szCs w:val="28"/>
        </w:rPr>
        <w:t>разъяснение контролируемым лицам требований законодательства.</w:t>
      </w:r>
    </w:p>
    <w:p w:rsidR="00781F07" w:rsidRPr="00781F07" w:rsidRDefault="00781F07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Задачами реализации профилактических мероприятий являются:</w:t>
      </w:r>
    </w:p>
    <w:p w:rsidR="00781F07" w:rsidRPr="00781F07" w:rsidRDefault="007B68B4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F07" w:rsidRPr="00781F07"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требований законодательства путём активизации профилактической деятельности;</w:t>
      </w:r>
    </w:p>
    <w:p w:rsidR="00781F07" w:rsidRPr="00781F07" w:rsidRDefault="007B68B4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81F07" w:rsidRPr="00781F07">
        <w:rPr>
          <w:rFonts w:ascii="Times New Roman" w:hAnsi="Times New Roman" w:cs="Times New Roman"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781F07" w:rsidRPr="00781F07" w:rsidRDefault="007B68B4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F07" w:rsidRPr="00781F07"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её снижению;</w:t>
      </w:r>
    </w:p>
    <w:p w:rsidR="00781F07" w:rsidRPr="00781F07" w:rsidRDefault="007B68B4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F07" w:rsidRPr="00781F07"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требований законодательства, определение способов устранения или снижения угрозы;</w:t>
      </w:r>
    </w:p>
    <w:p w:rsidR="00781F07" w:rsidRPr="00781F07" w:rsidRDefault="007B68B4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F07" w:rsidRPr="00781F07">
        <w:rPr>
          <w:rFonts w:ascii="Times New Roman" w:hAnsi="Times New Roman" w:cs="Times New Roman"/>
          <w:sz w:val="28"/>
          <w:szCs w:val="28"/>
        </w:rPr>
        <w:t>формирование у контролируемых лиц единого понимания требований законодательства;</w:t>
      </w:r>
    </w:p>
    <w:p w:rsidR="00781F07" w:rsidRPr="00781F07" w:rsidRDefault="007B68B4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F07" w:rsidRPr="00781F07">
        <w:rPr>
          <w:rFonts w:ascii="Times New Roman" w:hAnsi="Times New Roman" w:cs="Times New Roman"/>
          <w:sz w:val="28"/>
          <w:szCs w:val="28"/>
        </w:rPr>
        <w:t>создание и внедрение мер позитивной профилактики, повешение уровня правовой грамотности контролируемых лиц, в том числе путём обеспечения доступности информации об обязательных требованиях и необходимых мерах по их исполнению;</w:t>
      </w:r>
    </w:p>
    <w:p w:rsidR="00781F07" w:rsidRPr="00781F07" w:rsidRDefault="007B68B4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F07" w:rsidRPr="00781F07">
        <w:rPr>
          <w:rFonts w:ascii="Times New Roman" w:hAnsi="Times New Roman" w:cs="Times New Roman"/>
          <w:sz w:val="28"/>
          <w:szCs w:val="28"/>
        </w:rPr>
        <w:t>снижение издержек контрольной деятельности и административной нагрузки на контролируемых лиц.</w:t>
      </w:r>
    </w:p>
    <w:p w:rsidR="00781F07" w:rsidRPr="00781F07" w:rsidRDefault="00781F07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При осуществлении РГСН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9D5399" w:rsidRPr="00781F07" w:rsidRDefault="009D5399" w:rsidP="009D5399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D5399">
        <w:rPr>
          <w:rFonts w:ascii="Times New Roman" w:hAnsi="Times New Roman" w:cs="Times New Roman"/>
          <w:sz w:val="28"/>
          <w:szCs w:val="28"/>
        </w:rPr>
        <w:t xml:space="preserve">Управление в соответствии с требованиями, установленными ст. 46 Федерального закона № 248-ФЗ осуществляет информирование контролируемых лиц и иных заинтересованных лиц по вопросам соблюдения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 xml:space="preserve">РГСН. </w:t>
      </w:r>
      <w:r w:rsidRPr="009D5399">
        <w:rPr>
          <w:rFonts w:ascii="Times New Roman" w:hAnsi="Times New Roman" w:cs="Times New Roman"/>
          <w:sz w:val="28"/>
          <w:szCs w:val="28"/>
        </w:rPr>
        <w:t>Обязательная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399">
        <w:rPr>
          <w:rFonts w:ascii="Times New Roman" w:hAnsi="Times New Roman" w:cs="Times New Roman"/>
          <w:sz w:val="28"/>
          <w:szCs w:val="28"/>
        </w:rPr>
        <w:t>размещается Управлением на официальном сайте администрации муниципального образования город Новороссийск (https://admnvrsk.ru/)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1F07" w:rsidRPr="00781F07" w:rsidRDefault="00781F07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Ключевыми рисками причинения вреда (ущерба) охраняемым законом ценностям является различное толкование контролируемыми лицами требований законодательства, что может привести к нарушению ими отдельных положений действующего законодательства.</w:t>
      </w:r>
    </w:p>
    <w:p w:rsidR="00781F07" w:rsidRPr="00781F07" w:rsidRDefault="00781F07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Снижение рисков причинения вреда (ущерба) охраняемым законом ценностям обеспечивается за счёт информирования контролируемых лиц о требованиях законодательства.</w:t>
      </w:r>
    </w:p>
    <w:p w:rsidR="00781F07" w:rsidRPr="00781F07" w:rsidRDefault="00781F07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Консультирование осуществляется по обращениям контролируемых лиц и их представителей (даются разъяснения по вопросам, связанным с организацией и осуществлением РГСН):</w:t>
      </w:r>
    </w:p>
    <w:p w:rsidR="0045583D" w:rsidRDefault="0045583D" w:rsidP="0045583D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соблюдении обязательных требования РГСН; </w:t>
      </w:r>
    </w:p>
    <w:p w:rsidR="00781F07" w:rsidRPr="00781F07" w:rsidRDefault="0045583D" w:rsidP="0045583D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F07" w:rsidRPr="00781F07">
        <w:rPr>
          <w:rFonts w:ascii="Times New Roman" w:hAnsi="Times New Roman" w:cs="Times New Roman"/>
          <w:sz w:val="28"/>
          <w:szCs w:val="28"/>
        </w:rPr>
        <w:t>об организации и осуществлении РГСН;</w:t>
      </w:r>
    </w:p>
    <w:p w:rsidR="00781F07" w:rsidRPr="00781F07" w:rsidRDefault="0045583D" w:rsidP="0045583D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F07" w:rsidRPr="00781F07">
        <w:rPr>
          <w:rFonts w:ascii="Times New Roman" w:hAnsi="Times New Roman" w:cs="Times New Roman"/>
          <w:sz w:val="28"/>
          <w:szCs w:val="28"/>
        </w:rPr>
        <w:t>о порядке осуществления Управлением профилактических и контрольных мероприятий, установленных Положением;</w:t>
      </w:r>
    </w:p>
    <w:p w:rsidR="00781F07" w:rsidRPr="00781F07" w:rsidRDefault="0045583D" w:rsidP="0045583D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F07" w:rsidRPr="00781F07">
        <w:rPr>
          <w:rFonts w:ascii="Times New Roman" w:hAnsi="Times New Roman" w:cs="Times New Roman"/>
          <w:sz w:val="28"/>
          <w:szCs w:val="28"/>
        </w:rPr>
        <w:t>о порядке обжалования контролируемым лицом решений Управления, действий (бездействия) его должностных лиц;</w:t>
      </w:r>
    </w:p>
    <w:p w:rsidR="00781F07" w:rsidRPr="00781F07" w:rsidRDefault="0045583D" w:rsidP="0045583D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F07" w:rsidRPr="00781F07">
        <w:rPr>
          <w:rFonts w:ascii="Times New Roman" w:hAnsi="Times New Roman" w:cs="Times New Roman"/>
          <w:sz w:val="28"/>
          <w:szCs w:val="28"/>
        </w:rPr>
        <w:t>об иных вопросах, касающихся осуществления РГСН.</w:t>
      </w:r>
    </w:p>
    <w:p w:rsidR="00781F07" w:rsidRDefault="0045583D" w:rsidP="0045583D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781F07" w:rsidRPr="00781F07">
        <w:rPr>
          <w:rFonts w:ascii="Times New Roman" w:hAnsi="Times New Roman" w:cs="Times New Roman"/>
          <w:sz w:val="28"/>
          <w:szCs w:val="28"/>
        </w:rPr>
        <w:t xml:space="preserve">олжностными лицами контрольного органа по обращениям контролируемых лиц и их представителей осуществлено </w:t>
      </w:r>
      <w:r w:rsidR="006559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781F07" w:rsidRPr="00781F07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мероприятия в виде консультирований.</w:t>
      </w:r>
    </w:p>
    <w:p w:rsidR="00781F07" w:rsidRPr="00781F07" w:rsidRDefault="00781F07" w:rsidP="00781F07">
      <w:pPr>
        <w:spacing w:after="0" w:line="240" w:lineRule="auto"/>
        <w:ind w:left="1985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781F07" w:rsidRPr="00781F07" w:rsidRDefault="00781F07" w:rsidP="0045583D">
      <w:pPr>
        <w:spacing w:after="0" w:line="240" w:lineRule="auto"/>
        <w:ind w:left="1985" w:right="567"/>
        <w:jc w:val="center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Отчет о работе Управления за 202</w:t>
      </w:r>
      <w:r w:rsidR="006559D0">
        <w:rPr>
          <w:rFonts w:ascii="Times New Roman" w:hAnsi="Times New Roman" w:cs="Times New Roman"/>
          <w:sz w:val="28"/>
          <w:szCs w:val="28"/>
        </w:rPr>
        <w:t>3</w:t>
      </w:r>
      <w:r w:rsidRPr="00781F07">
        <w:rPr>
          <w:rFonts w:ascii="Times New Roman" w:hAnsi="Times New Roman" w:cs="Times New Roman"/>
          <w:sz w:val="28"/>
          <w:szCs w:val="28"/>
        </w:rPr>
        <w:t xml:space="preserve"> год при осуществлении РГСН в отношении юридических, физических лиц и индивидуальных предпринимателей</w:t>
      </w:r>
    </w:p>
    <w:p w:rsidR="00781F07" w:rsidRDefault="00781F07" w:rsidP="00781F07">
      <w:pPr>
        <w:spacing w:after="0" w:line="240" w:lineRule="auto"/>
        <w:ind w:left="1985" w:righ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980" w:type="dxa"/>
        <w:tblLayout w:type="fixed"/>
        <w:tblLook w:val="04A0" w:firstRow="1" w:lastRow="0" w:firstColumn="1" w:lastColumn="0" w:noHBand="0" w:noVBand="1"/>
      </w:tblPr>
      <w:tblGrid>
        <w:gridCol w:w="1134"/>
        <w:gridCol w:w="5953"/>
        <w:gridCol w:w="2127"/>
      </w:tblGrid>
      <w:tr w:rsidR="006559D0" w:rsidRPr="006559D0" w:rsidTr="006559D0">
        <w:trPr>
          <w:trHeight w:val="5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D0" w:rsidRPr="006559D0" w:rsidRDefault="006559D0" w:rsidP="006559D0">
            <w:pPr>
              <w:spacing w:after="0" w:line="240" w:lineRule="auto"/>
              <w:ind w:left="34" w:right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9D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D0" w:rsidRPr="006559D0" w:rsidRDefault="006559D0" w:rsidP="006559D0">
            <w:pPr>
              <w:spacing w:after="0" w:line="240" w:lineRule="auto"/>
              <w:ind w:left="34" w:right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9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отчетных показателей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D0" w:rsidRPr="006559D0" w:rsidRDefault="006559D0" w:rsidP="006559D0">
            <w:pPr>
              <w:spacing w:after="0" w:line="240" w:lineRule="auto"/>
              <w:ind w:left="34" w:righ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9D0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</w:tr>
      <w:tr w:rsidR="006559D0" w:rsidRPr="006559D0" w:rsidTr="006559D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9D0" w:rsidRPr="006559D0" w:rsidRDefault="006559D0" w:rsidP="006559D0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9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9D0" w:rsidRPr="006559D0" w:rsidRDefault="006559D0" w:rsidP="006559D0">
            <w:pPr>
              <w:spacing w:after="0" w:line="240" w:lineRule="auto"/>
              <w:ind w:left="34" w:right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59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контрольных (надзорных) мероприятий, </w:t>
            </w:r>
            <w:r w:rsidRPr="006559D0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D0" w:rsidRPr="00E0502D" w:rsidRDefault="00E0502D" w:rsidP="006559D0">
            <w:pPr>
              <w:tabs>
                <w:tab w:val="left" w:pos="1845"/>
                <w:tab w:val="left" w:pos="2697"/>
              </w:tabs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</w:tr>
      <w:tr w:rsidR="006559D0" w:rsidRPr="006559D0" w:rsidTr="006559D0">
        <w:trPr>
          <w:trHeight w:val="25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9D0" w:rsidRPr="006559D0" w:rsidRDefault="006559D0" w:rsidP="006559D0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D0" w:rsidRPr="006559D0" w:rsidRDefault="006559D0" w:rsidP="006559D0">
            <w:pPr>
              <w:spacing w:after="0" w:line="240" w:lineRule="auto"/>
              <w:ind w:left="34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9D0">
              <w:rPr>
                <w:rFonts w:ascii="Times New Roman" w:hAnsi="Times New Roman" w:cs="Times New Roman"/>
                <w:sz w:val="28"/>
                <w:szCs w:val="28"/>
              </w:rPr>
              <w:t>Инспекционный визит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D0" w:rsidRPr="006559D0" w:rsidRDefault="006559D0" w:rsidP="006559D0">
            <w:pPr>
              <w:tabs>
                <w:tab w:val="left" w:pos="1845"/>
                <w:tab w:val="left" w:pos="2697"/>
              </w:tabs>
              <w:spacing w:after="0" w:line="240" w:lineRule="auto"/>
              <w:ind w:left="34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9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59D0" w:rsidRPr="006559D0" w:rsidTr="006559D0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9D0" w:rsidRPr="006559D0" w:rsidRDefault="006559D0" w:rsidP="006559D0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D0" w:rsidRPr="006559D0" w:rsidRDefault="006559D0" w:rsidP="006559D0">
            <w:pPr>
              <w:spacing w:after="0" w:line="240" w:lineRule="auto"/>
              <w:ind w:left="34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9D0">
              <w:rPr>
                <w:rFonts w:ascii="Times New Roman" w:hAnsi="Times New Roman" w:cs="Times New Roman"/>
                <w:sz w:val="28"/>
                <w:szCs w:val="28"/>
              </w:rPr>
              <w:t>по результатам которых выявлены нарушения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D0" w:rsidRPr="006559D0" w:rsidRDefault="006559D0" w:rsidP="006559D0">
            <w:pPr>
              <w:tabs>
                <w:tab w:val="left" w:pos="1845"/>
                <w:tab w:val="left" w:pos="2697"/>
              </w:tabs>
              <w:spacing w:after="0" w:line="240" w:lineRule="auto"/>
              <w:ind w:left="34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9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59D0" w:rsidRPr="006559D0" w:rsidTr="006559D0">
        <w:trPr>
          <w:trHeight w:val="30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D0" w:rsidRPr="006559D0" w:rsidRDefault="006559D0" w:rsidP="006559D0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D0" w:rsidRPr="006559D0" w:rsidRDefault="006559D0" w:rsidP="006559D0">
            <w:pPr>
              <w:spacing w:after="0" w:line="240" w:lineRule="auto"/>
              <w:ind w:left="34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9D0">
              <w:rPr>
                <w:rFonts w:ascii="Times New Roman" w:hAnsi="Times New Roman" w:cs="Times New Roman"/>
                <w:sz w:val="28"/>
                <w:szCs w:val="28"/>
              </w:rPr>
              <w:t>Выездная проверка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D0" w:rsidRPr="006559D0" w:rsidRDefault="006559D0" w:rsidP="006559D0">
            <w:pPr>
              <w:tabs>
                <w:tab w:val="left" w:pos="1845"/>
                <w:tab w:val="left" w:pos="2697"/>
              </w:tabs>
              <w:spacing w:after="0" w:line="240" w:lineRule="auto"/>
              <w:ind w:left="34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9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59D0" w:rsidRPr="006559D0" w:rsidTr="006559D0">
        <w:trPr>
          <w:trHeight w:val="30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D0" w:rsidRPr="006559D0" w:rsidRDefault="006559D0" w:rsidP="006559D0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D0" w:rsidRPr="006559D0" w:rsidRDefault="006559D0" w:rsidP="006559D0">
            <w:pPr>
              <w:spacing w:after="0" w:line="240" w:lineRule="auto"/>
              <w:ind w:left="34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9D0">
              <w:rPr>
                <w:rFonts w:ascii="Times New Roman" w:hAnsi="Times New Roman" w:cs="Times New Roman"/>
                <w:sz w:val="28"/>
                <w:szCs w:val="28"/>
              </w:rPr>
              <w:t>по результатам которых выявлены нарушения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D0" w:rsidRPr="006559D0" w:rsidRDefault="006559D0" w:rsidP="006559D0">
            <w:pPr>
              <w:tabs>
                <w:tab w:val="left" w:pos="1845"/>
                <w:tab w:val="left" w:pos="2697"/>
              </w:tabs>
              <w:spacing w:after="0" w:line="240" w:lineRule="auto"/>
              <w:ind w:left="34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9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59D0" w:rsidRPr="006559D0" w:rsidTr="006559D0">
        <w:trPr>
          <w:trHeight w:val="30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D0" w:rsidRPr="006559D0" w:rsidRDefault="006559D0" w:rsidP="006559D0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D0" w:rsidRPr="006559D0" w:rsidRDefault="006559D0" w:rsidP="006559D0">
            <w:pPr>
              <w:spacing w:after="0" w:line="240" w:lineRule="auto"/>
              <w:ind w:left="34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9D0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 за соблюдением обязательных требований (мониторинг безопасности)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D0" w:rsidRPr="00E0502D" w:rsidRDefault="00E0502D" w:rsidP="006559D0">
            <w:pPr>
              <w:tabs>
                <w:tab w:val="left" w:pos="1845"/>
                <w:tab w:val="left" w:pos="2697"/>
              </w:tabs>
              <w:spacing w:after="0" w:line="240" w:lineRule="auto"/>
              <w:ind w:left="34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6559D0" w:rsidRPr="006559D0" w:rsidTr="006559D0">
        <w:trPr>
          <w:trHeight w:val="30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D0" w:rsidRPr="006559D0" w:rsidRDefault="006559D0" w:rsidP="006559D0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D0" w:rsidRPr="006559D0" w:rsidRDefault="006559D0" w:rsidP="006559D0">
            <w:pPr>
              <w:spacing w:after="0" w:line="240" w:lineRule="auto"/>
              <w:ind w:left="34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9D0">
              <w:rPr>
                <w:rFonts w:ascii="Times New Roman" w:hAnsi="Times New Roman" w:cs="Times New Roman"/>
                <w:bCs/>
                <w:sz w:val="28"/>
                <w:szCs w:val="28"/>
              </w:rPr>
              <w:t>Выездное обследование</w:t>
            </w:r>
            <w:r w:rsidRPr="00655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D0" w:rsidRPr="006559D0" w:rsidRDefault="00E0502D" w:rsidP="006559D0">
            <w:pPr>
              <w:tabs>
                <w:tab w:val="left" w:pos="1845"/>
                <w:tab w:val="left" w:pos="2697"/>
              </w:tabs>
              <w:spacing w:after="0" w:line="240" w:lineRule="auto"/>
              <w:ind w:left="34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6559D0" w:rsidRPr="006559D0" w:rsidTr="006559D0">
        <w:trPr>
          <w:trHeight w:val="43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9D0" w:rsidRPr="006559D0" w:rsidRDefault="006559D0" w:rsidP="006559D0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9D0" w:rsidRPr="006559D0" w:rsidRDefault="006559D0" w:rsidP="006559D0">
            <w:pPr>
              <w:spacing w:after="0" w:line="240" w:lineRule="auto"/>
              <w:ind w:left="34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9D0">
              <w:rPr>
                <w:rFonts w:ascii="Times New Roman" w:hAnsi="Times New Roman" w:cs="Times New Roman"/>
                <w:sz w:val="28"/>
                <w:szCs w:val="28"/>
              </w:rPr>
              <w:t>по результатам которых выявлены нарушения</w:t>
            </w:r>
          </w:p>
        </w:tc>
        <w:tc>
          <w:tcPr>
            <w:tcW w:w="21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59D0" w:rsidRPr="00EE4D3C" w:rsidRDefault="00E0502D" w:rsidP="006559D0">
            <w:pPr>
              <w:tabs>
                <w:tab w:val="left" w:pos="1845"/>
                <w:tab w:val="left" w:pos="2697"/>
              </w:tabs>
              <w:spacing w:after="0" w:line="240" w:lineRule="auto"/>
              <w:ind w:left="34" w:right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6559D0" w:rsidRPr="006559D0" w:rsidTr="006559D0">
        <w:trPr>
          <w:trHeight w:val="2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D0" w:rsidRPr="006559D0" w:rsidRDefault="006559D0" w:rsidP="006559D0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9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9D0" w:rsidRPr="006559D0" w:rsidRDefault="006559D0" w:rsidP="006559D0">
            <w:pPr>
              <w:spacing w:after="0" w:line="240" w:lineRule="auto"/>
              <w:ind w:left="34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9D0">
              <w:rPr>
                <w:rFonts w:ascii="Times New Roman" w:hAnsi="Times New Roman" w:cs="Times New Roman"/>
                <w:sz w:val="28"/>
                <w:szCs w:val="28"/>
              </w:rPr>
              <w:t>Направлено уведомлении о выявлении самовольной постройки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D0" w:rsidRPr="00EE4D3C" w:rsidRDefault="00EE4D3C" w:rsidP="006559D0">
            <w:pPr>
              <w:tabs>
                <w:tab w:val="left" w:pos="1845"/>
                <w:tab w:val="left" w:pos="2697"/>
              </w:tabs>
              <w:spacing w:after="0" w:line="240" w:lineRule="auto"/>
              <w:ind w:left="34" w:right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</w:tr>
      <w:tr w:rsidR="006559D0" w:rsidRPr="006559D0" w:rsidTr="006559D0">
        <w:trPr>
          <w:trHeight w:val="4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D0" w:rsidRPr="006559D0" w:rsidRDefault="006559D0" w:rsidP="006559D0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9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9D0" w:rsidRPr="006559D0" w:rsidRDefault="006559D0" w:rsidP="006559D0">
            <w:pPr>
              <w:spacing w:after="0" w:line="240" w:lineRule="auto"/>
              <w:ind w:left="34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9D0">
              <w:rPr>
                <w:rFonts w:ascii="Times New Roman" w:hAnsi="Times New Roman" w:cs="Times New Roman"/>
                <w:sz w:val="28"/>
                <w:szCs w:val="28"/>
              </w:rPr>
              <w:t>В порядке ст. 55.32. Градостроительного кодекса РФ подано исковых заявлений в суд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D0" w:rsidRPr="00EE4D3C" w:rsidRDefault="00EE4D3C" w:rsidP="006559D0">
            <w:pPr>
              <w:tabs>
                <w:tab w:val="left" w:pos="1845"/>
                <w:tab w:val="left" w:pos="2697"/>
              </w:tabs>
              <w:spacing w:after="0" w:line="240" w:lineRule="auto"/>
              <w:ind w:left="34" w:right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6559D0" w:rsidRPr="006559D0" w:rsidTr="006559D0">
        <w:trPr>
          <w:trHeight w:val="40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6559D0" w:rsidRPr="006559D0" w:rsidRDefault="006559D0" w:rsidP="006559D0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9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D0" w:rsidRPr="006559D0" w:rsidRDefault="006559D0" w:rsidP="006559D0">
            <w:pPr>
              <w:spacing w:after="0" w:line="240" w:lineRule="auto"/>
              <w:ind w:left="34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9D0">
              <w:rPr>
                <w:rFonts w:ascii="Times New Roman" w:hAnsi="Times New Roman" w:cs="Times New Roman"/>
                <w:sz w:val="28"/>
                <w:szCs w:val="28"/>
              </w:rPr>
              <w:t>Проведено профилактических мероприятий, из них: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D0" w:rsidRPr="006559D0" w:rsidRDefault="00EE4D3C" w:rsidP="006559D0">
            <w:pPr>
              <w:tabs>
                <w:tab w:val="left" w:pos="1845"/>
                <w:tab w:val="left" w:pos="2697"/>
              </w:tabs>
              <w:spacing w:after="0" w:line="240" w:lineRule="auto"/>
              <w:ind w:left="34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559D0" w:rsidRPr="006559D0" w:rsidTr="006559D0">
        <w:trPr>
          <w:trHeight w:val="280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6559D0" w:rsidRPr="006559D0" w:rsidRDefault="006559D0" w:rsidP="006559D0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D0" w:rsidRPr="006559D0" w:rsidRDefault="006559D0" w:rsidP="006559D0">
            <w:pPr>
              <w:spacing w:after="0" w:line="240" w:lineRule="auto"/>
              <w:ind w:left="34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9D0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D0" w:rsidRPr="00EE4D3C" w:rsidRDefault="00EE4D3C" w:rsidP="006559D0">
            <w:pPr>
              <w:tabs>
                <w:tab w:val="left" w:pos="1845"/>
                <w:tab w:val="left" w:pos="2697"/>
              </w:tabs>
              <w:spacing w:after="0" w:line="240" w:lineRule="auto"/>
              <w:ind w:left="34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6559D0" w:rsidRPr="006559D0" w:rsidTr="006559D0">
        <w:trPr>
          <w:trHeight w:val="250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6559D0" w:rsidRPr="006559D0" w:rsidRDefault="006559D0" w:rsidP="006559D0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D0" w:rsidRPr="006559D0" w:rsidRDefault="006559D0" w:rsidP="006559D0">
            <w:pPr>
              <w:spacing w:after="0" w:line="240" w:lineRule="auto"/>
              <w:ind w:left="34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9D0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D0" w:rsidRPr="006559D0" w:rsidRDefault="00EE4D3C" w:rsidP="006559D0">
            <w:pPr>
              <w:tabs>
                <w:tab w:val="left" w:pos="1845"/>
                <w:tab w:val="left" w:pos="2697"/>
              </w:tabs>
              <w:spacing w:after="0" w:line="240" w:lineRule="auto"/>
              <w:ind w:left="34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59D0" w:rsidRPr="006559D0" w:rsidTr="006559D0">
        <w:trPr>
          <w:trHeight w:val="26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59D0" w:rsidRPr="006559D0" w:rsidRDefault="006559D0" w:rsidP="006559D0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</w:tcPr>
          <w:p w:rsidR="006559D0" w:rsidRPr="006559D0" w:rsidRDefault="006559D0" w:rsidP="006559D0">
            <w:pPr>
              <w:spacing w:after="0" w:line="240" w:lineRule="auto"/>
              <w:ind w:left="34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9D0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D0" w:rsidRPr="006559D0" w:rsidRDefault="006559D0" w:rsidP="006559D0">
            <w:pPr>
              <w:tabs>
                <w:tab w:val="left" w:pos="1845"/>
                <w:tab w:val="left" w:pos="2697"/>
              </w:tabs>
              <w:spacing w:after="0" w:line="240" w:lineRule="auto"/>
              <w:ind w:left="34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9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59D0" w:rsidRPr="006559D0" w:rsidTr="006559D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59D0" w:rsidRPr="006559D0" w:rsidRDefault="006559D0" w:rsidP="006559D0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D0" w:rsidRPr="006559D0" w:rsidRDefault="006559D0" w:rsidP="006559D0">
            <w:pPr>
              <w:spacing w:after="0" w:line="240" w:lineRule="auto"/>
              <w:ind w:left="34" w:right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59D0">
              <w:rPr>
                <w:rFonts w:ascii="Times New Roman" w:hAnsi="Times New Roman" w:cs="Times New Roman"/>
                <w:bCs/>
                <w:sz w:val="28"/>
                <w:szCs w:val="28"/>
              </w:rPr>
              <w:t>Рассмотрено жалоб, обращений, запросов,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D0" w:rsidRPr="001553EA" w:rsidRDefault="001553EA" w:rsidP="006559D0">
            <w:pPr>
              <w:tabs>
                <w:tab w:val="left" w:pos="1845"/>
                <w:tab w:val="left" w:pos="2697"/>
              </w:tabs>
              <w:spacing w:after="0" w:line="240" w:lineRule="auto"/>
              <w:ind w:left="34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E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6559D0" w:rsidRPr="006559D0" w:rsidTr="006559D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9D0" w:rsidRPr="006559D0" w:rsidRDefault="006559D0" w:rsidP="006559D0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9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D0" w:rsidRPr="00E0502D" w:rsidRDefault="006559D0" w:rsidP="006559D0">
            <w:pPr>
              <w:spacing w:after="0" w:line="240" w:lineRule="auto"/>
              <w:ind w:left="34" w:right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59D0">
              <w:rPr>
                <w:rFonts w:ascii="Times New Roman" w:hAnsi="Times New Roman" w:cs="Times New Roman"/>
                <w:sz w:val="28"/>
                <w:szCs w:val="28"/>
              </w:rPr>
              <w:t>- органов прокуратуры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D0" w:rsidRPr="001553EA" w:rsidRDefault="001553EA" w:rsidP="006559D0">
            <w:pPr>
              <w:tabs>
                <w:tab w:val="left" w:pos="1845"/>
                <w:tab w:val="left" w:pos="2697"/>
              </w:tabs>
              <w:spacing w:after="0" w:line="240" w:lineRule="auto"/>
              <w:ind w:left="34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4D3C" w:rsidRPr="001553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59D0" w:rsidRPr="006559D0" w:rsidTr="006559D0">
        <w:trPr>
          <w:trHeight w:val="30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9D0" w:rsidRPr="006559D0" w:rsidRDefault="006559D0" w:rsidP="006559D0">
            <w:pPr>
              <w:spacing w:after="0" w:line="240" w:lineRule="auto"/>
              <w:ind w:left="1985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D0" w:rsidRPr="006559D0" w:rsidRDefault="006559D0" w:rsidP="006559D0">
            <w:pPr>
              <w:spacing w:after="0" w:line="240" w:lineRule="auto"/>
              <w:ind w:left="34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9D0">
              <w:rPr>
                <w:rFonts w:ascii="Times New Roman" w:hAnsi="Times New Roman" w:cs="Times New Roman"/>
                <w:sz w:val="28"/>
                <w:szCs w:val="28"/>
              </w:rPr>
              <w:t>- органов власти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D0" w:rsidRPr="001553EA" w:rsidRDefault="001553EA" w:rsidP="006559D0">
            <w:pPr>
              <w:tabs>
                <w:tab w:val="left" w:pos="1845"/>
              </w:tabs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6559D0" w:rsidRPr="006559D0" w:rsidTr="006559D0">
        <w:trPr>
          <w:trHeight w:val="30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9D0" w:rsidRPr="006559D0" w:rsidRDefault="006559D0" w:rsidP="006559D0">
            <w:pPr>
              <w:spacing w:after="0" w:line="240" w:lineRule="auto"/>
              <w:ind w:left="1985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D0" w:rsidRPr="006559D0" w:rsidRDefault="006559D0" w:rsidP="006559D0">
            <w:pPr>
              <w:spacing w:after="0" w:line="240" w:lineRule="auto"/>
              <w:ind w:left="34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9D0">
              <w:rPr>
                <w:rFonts w:ascii="Times New Roman" w:hAnsi="Times New Roman" w:cs="Times New Roman"/>
                <w:sz w:val="28"/>
                <w:szCs w:val="28"/>
              </w:rPr>
              <w:t>-юридических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D0" w:rsidRPr="001553EA" w:rsidRDefault="001553EA" w:rsidP="006559D0">
            <w:pPr>
              <w:tabs>
                <w:tab w:val="left" w:pos="1845"/>
              </w:tabs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59D0" w:rsidRPr="006559D0" w:rsidTr="006559D0">
        <w:trPr>
          <w:trHeight w:val="31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9D0" w:rsidRPr="006559D0" w:rsidRDefault="006559D0" w:rsidP="006559D0">
            <w:pPr>
              <w:spacing w:after="0" w:line="240" w:lineRule="auto"/>
              <w:ind w:left="1985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D0" w:rsidRPr="006559D0" w:rsidRDefault="006559D0" w:rsidP="006559D0">
            <w:pPr>
              <w:spacing w:after="0" w:line="240" w:lineRule="auto"/>
              <w:ind w:left="34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9D0">
              <w:rPr>
                <w:rFonts w:ascii="Times New Roman" w:hAnsi="Times New Roman" w:cs="Times New Roman"/>
                <w:sz w:val="28"/>
                <w:szCs w:val="28"/>
              </w:rPr>
              <w:t>-физических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D0" w:rsidRPr="001553EA" w:rsidRDefault="001553EA" w:rsidP="006559D0">
            <w:pPr>
              <w:tabs>
                <w:tab w:val="left" w:pos="1845"/>
              </w:tabs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bookmarkStart w:id="0" w:name="_GoBack"/>
            <w:bookmarkEnd w:id="0"/>
          </w:p>
        </w:tc>
      </w:tr>
    </w:tbl>
    <w:p w:rsidR="006559D0" w:rsidRDefault="006559D0" w:rsidP="00781F07">
      <w:pPr>
        <w:spacing w:after="0" w:line="240" w:lineRule="auto"/>
        <w:ind w:left="1985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781F07" w:rsidRPr="00781F07" w:rsidRDefault="00781F07" w:rsidP="009D5399">
      <w:pPr>
        <w:spacing w:after="0" w:line="240" w:lineRule="auto"/>
        <w:ind w:left="1985" w:right="567"/>
        <w:jc w:val="center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 xml:space="preserve">3. </w:t>
      </w:r>
      <w:r w:rsidRPr="002E511F">
        <w:rPr>
          <w:rFonts w:ascii="Times New Roman" w:hAnsi="Times New Roman" w:cs="Times New Roman"/>
          <w:sz w:val="28"/>
          <w:szCs w:val="28"/>
        </w:rPr>
        <w:t>Выявление типичных нарушений обязательных требований и причин, способствующих</w:t>
      </w:r>
      <w:r w:rsidRPr="00781F07">
        <w:rPr>
          <w:rFonts w:ascii="Times New Roman" w:hAnsi="Times New Roman" w:cs="Times New Roman"/>
          <w:sz w:val="28"/>
          <w:szCs w:val="28"/>
        </w:rPr>
        <w:t xml:space="preserve"> возникновению нарушений обязательных требований</w:t>
      </w:r>
    </w:p>
    <w:p w:rsidR="00781F07" w:rsidRPr="00781F07" w:rsidRDefault="00781F07" w:rsidP="009D5399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781F07" w:rsidRPr="00781F07" w:rsidRDefault="00781F07" w:rsidP="009D5399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lastRenderedPageBreak/>
        <w:t>Лица, виновные в нарушении законодательства в области строительства, несут ответственность в соответствии с законодательством Российской Федерации.</w:t>
      </w:r>
    </w:p>
    <w:p w:rsidR="00781F07" w:rsidRPr="00781F07" w:rsidRDefault="00781F07" w:rsidP="009D5399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Наиболее распространенным видом юридической ответственности в поднадзорной сфере является административная ответственность, установленная нормами Кодекса Российской Федерации об административных правонарушениях (далее - КоАП РФ) и направленная на пресечение нарушений законодательства Российской Федерации, а также предупреждение совершения новых правонарушений как самим нарушителем, так и иными лицами.</w:t>
      </w:r>
    </w:p>
    <w:p w:rsidR="00781F07" w:rsidRPr="00781F07" w:rsidRDefault="00781F07" w:rsidP="009D5399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На охрану отношений, относящихся к предмету РГСН, урегулированных градостроительным законодательством, направлены нормы, приведенные в ст. 9.5 КоАП РФ.</w:t>
      </w:r>
    </w:p>
    <w:p w:rsidR="00781F07" w:rsidRPr="00781F07" w:rsidRDefault="00781F07" w:rsidP="009D5399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Строительство или реконструкция объектов капитального строительства без разрешения на строительство в случае, если для его осуществления, законом предусмотрено получение разрешения на строительство является правонарушением части 1 статьи 9.5 КоАП РФ.</w:t>
      </w:r>
    </w:p>
    <w:p w:rsidR="00781F07" w:rsidRPr="00781F07" w:rsidRDefault="00781F07" w:rsidP="009D5399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Строительство, реконструкция объектов капитального строительства осуществляются на основании разрешения, за исключением случаев, предусмотренных ст. 51 Градостроительного кодекса РФ.</w:t>
      </w:r>
    </w:p>
    <w:p w:rsidR="00781F07" w:rsidRPr="00781F07" w:rsidRDefault="00781F07" w:rsidP="009D5399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Практика показала, что зачастую застройщик для ускорения процесса строительства объектов начинает его без разрешения на данное строительство, либо осуществляет строительство объекта, параметры которого не соответствуют полученному разрешению, за что частью 1 статьи 9.5 КоАП РФ предусмотрена административная ответственность.</w:t>
      </w:r>
    </w:p>
    <w:p w:rsidR="00781F07" w:rsidRPr="00781F07" w:rsidRDefault="00781F07" w:rsidP="009D5399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Также, в соответствие с п. 2 ст. 55.32. Градостроительного кодекса РФ, при поступлении уведомления о выявлении самовольной постройки и документов, подтверждающих наличие признаков самовольной постройки, предусмотренных пунктом 1 статьи 222 Гражданского кодекса РФ, принимается решение о сносе самовольной постройки, либо решение о сносе самовольной постройки или её приведении в соответствие с установленными требованиями.</w:t>
      </w:r>
    </w:p>
    <w:p w:rsidR="00781F07" w:rsidRPr="00781F07" w:rsidRDefault="00781F07" w:rsidP="009D5399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Факт осуществления строительства без соответствующего разрешения может быть выявлен непосредственно Управлением, или зафиксирован в поступающих в Управление материалах надзорных мероприятий, проводимых департаментом по надзору в строительной сфере по Краснодарскому краю, либо иных органов.</w:t>
      </w:r>
    </w:p>
    <w:p w:rsidR="00781F07" w:rsidRPr="00781F07" w:rsidRDefault="00781F07" w:rsidP="009D5399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В дополнение следует сказать, что производство строительных работ по истечении срока действия разрешения на строительство также влечет административную ответственность по части 1 статьи 9.5 КоАП РФ.</w:t>
      </w:r>
    </w:p>
    <w:p w:rsidR="00781F07" w:rsidRPr="00781F07" w:rsidRDefault="00781F07" w:rsidP="009D5399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Необходимо отметить, что частью 17 статьи 51 Градостроительного кодекса РФ определены случаи, когда выдача разрешения на строительство не требуется.</w:t>
      </w:r>
    </w:p>
    <w:p w:rsidR="00781F07" w:rsidRPr="00781F07" w:rsidRDefault="00781F07" w:rsidP="009D5399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 xml:space="preserve">В свою очередь гражданами при строительстве жилых домов и объектов вспомогательного использования (их реконструкции) нарушаются </w:t>
      </w:r>
      <w:r w:rsidRPr="00781F07">
        <w:rPr>
          <w:rFonts w:ascii="Times New Roman" w:hAnsi="Times New Roman" w:cs="Times New Roman"/>
          <w:sz w:val="28"/>
          <w:szCs w:val="28"/>
        </w:rPr>
        <w:lastRenderedPageBreak/>
        <w:t xml:space="preserve">предельные параметры разрешенного строительства (отступы от границы смежных земельных участков и территории общего пользования, этажность, площадь застройки), установленных Правилами землепользования и застройки на территории муниципального образования город </w:t>
      </w:r>
      <w:r w:rsidR="007647AA">
        <w:rPr>
          <w:rFonts w:ascii="Times New Roman" w:hAnsi="Times New Roman" w:cs="Times New Roman"/>
          <w:sz w:val="28"/>
          <w:szCs w:val="28"/>
        </w:rPr>
        <w:t>Новороссийск</w:t>
      </w:r>
      <w:r w:rsidRPr="00781F07">
        <w:rPr>
          <w:rFonts w:ascii="Times New Roman" w:hAnsi="Times New Roman" w:cs="Times New Roman"/>
          <w:sz w:val="28"/>
          <w:szCs w:val="28"/>
        </w:rPr>
        <w:t>.</w:t>
      </w:r>
    </w:p>
    <w:p w:rsidR="00781F07" w:rsidRPr="00781F07" w:rsidRDefault="00781F07" w:rsidP="009D5399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Данные факторы также несут за собой судебные разбирательства.</w:t>
      </w:r>
    </w:p>
    <w:p w:rsidR="00781F07" w:rsidRPr="00781F07" w:rsidRDefault="00781F07" w:rsidP="00781F07">
      <w:pPr>
        <w:spacing w:after="0" w:line="240" w:lineRule="auto"/>
        <w:ind w:left="1985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781F07" w:rsidRPr="00781F07" w:rsidRDefault="00781F07" w:rsidP="007647AA">
      <w:pPr>
        <w:spacing w:after="0" w:line="240" w:lineRule="auto"/>
        <w:ind w:left="1985" w:right="567"/>
        <w:jc w:val="center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4. Изменения законодательства, регламентирующего осуществление регионального государственного строительного надзора</w:t>
      </w:r>
    </w:p>
    <w:p w:rsidR="00781F07" w:rsidRPr="00781F07" w:rsidRDefault="00781F07" w:rsidP="00781F07">
      <w:pPr>
        <w:spacing w:after="0" w:line="240" w:lineRule="auto"/>
        <w:ind w:left="1985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6B2B61" w:rsidRPr="006B2B61" w:rsidRDefault="006B2B61" w:rsidP="006B2B61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B61">
        <w:rPr>
          <w:rFonts w:ascii="Times New Roman" w:hAnsi="Times New Roman" w:cs="Times New Roman"/>
          <w:sz w:val="28"/>
          <w:szCs w:val="28"/>
        </w:rPr>
        <w:t>Федеральным законом №248-ФЗ установлены основания, сроки и порядок проведения профилактических мероприятий, контрольных (надзорных) мероприятий.</w:t>
      </w:r>
    </w:p>
    <w:p w:rsidR="006B2B61" w:rsidRPr="006B2B61" w:rsidRDefault="006B2B61" w:rsidP="006B2B61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B2B61">
        <w:rPr>
          <w:rFonts w:ascii="Times New Roman" w:hAnsi="Times New Roman" w:cs="Times New Roman"/>
          <w:sz w:val="28"/>
          <w:szCs w:val="28"/>
        </w:rPr>
        <w:t>В целях реализации положений Градостроительного кодекса РФ, Федерального закона № 248-ФЗ, Постановлением Правительства Российской Федерации от 01.12.2021 № 2161 утверждены общие требования к организации и осуществлению РГСН.</w:t>
      </w:r>
    </w:p>
    <w:p w:rsidR="006B2B61" w:rsidRPr="006B2B61" w:rsidRDefault="006B2B61" w:rsidP="006B2B61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B2B61"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7 статьи 54 </w:t>
      </w:r>
      <w:proofErr w:type="spellStart"/>
      <w:r w:rsidRPr="006B2B6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6B2B61">
        <w:rPr>
          <w:rFonts w:ascii="Times New Roman" w:hAnsi="Times New Roman" w:cs="Times New Roman"/>
          <w:sz w:val="28"/>
          <w:szCs w:val="28"/>
        </w:rPr>
        <w:t xml:space="preserve"> РФ, постановлением Правительства Российской Федерации от 01.12.2021 № 2161, в Положение о РГСН 31.10.2022 внесены изменения. </w:t>
      </w:r>
    </w:p>
    <w:p w:rsidR="006B2B61" w:rsidRPr="006B2B61" w:rsidRDefault="006B2B61" w:rsidP="006B2B61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B2B61">
        <w:rPr>
          <w:rFonts w:ascii="Times New Roman" w:hAnsi="Times New Roman" w:cs="Times New Roman"/>
          <w:sz w:val="28"/>
          <w:szCs w:val="28"/>
        </w:rPr>
        <w:t>Анализ нарушений обязательных требований, выявленных в ходе осуществления РГСН, применение норм материального права, мнение судов, в совокупности направлены на формирование единообразного подхода надзорного органа и контролируемого лица к применению положений вышеуказанного законодательства, что должно мотивировать контролируемых лиц к соблюдению обязательных требований в ходе осуществления деятельности в области строительства, реконструкции.</w:t>
      </w:r>
    </w:p>
    <w:p w:rsidR="006B2B61" w:rsidRPr="006B2B61" w:rsidRDefault="006B2B61" w:rsidP="006B2B61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B2B61">
        <w:rPr>
          <w:rFonts w:ascii="Times New Roman" w:hAnsi="Times New Roman" w:cs="Times New Roman"/>
          <w:sz w:val="28"/>
          <w:szCs w:val="28"/>
        </w:rPr>
        <w:t>Вышеуказанными нормативными правовыми актами внесены коррективы и в части контрольных (надзорных) мероприятий при осуществлении РГСН. Расширены возможности проведения не только документарной и выездной проверок, но и проведение таких контрольных (надзорных) мероприятий, как инспекционный визит и рейдовый осмотр.</w:t>
      </w:r>
    </w:p>
    <w:p w:rsidR="00781F07" w:rsidRDefault="00781F07" w:rsidP="004D743F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6B2B61" w:rsidRDefault="006B2B61" w:rsidP="004D743F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6B2B61" w:rsidRDefault="006B2B61" w:rsidP="006B2B61">
      <w:pPr>
        <w:spacing w:after="0" w:line="240" w:lineRule="auto"/>
        <w:ind w:left="1985" w:righ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начальника </w:t>
      </w:r>
    </w:p>
    <w:p w:rsidR="006B2B61" w:rsidRDefault="006B2B61" w:rsidP="006B2B61">
      <w:pPr>
        <w:spacing w:after="0" w:line="240" w:lineRule="auto"/>
        <w:ind w:left="1985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контрольно-ревизионного управления</w:t>
      </w:r>
    </w:p>
    <w:p w:rsidR="006B2B61" w:rsidRDefault="006B2B61" w:rsidP="006B2B61">
      <w:pPr>
        <w:spacing w:after="0" w:line="240" w:lineRule="auto"/>
        <w:ind w:left="1985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6B2B61" w:rsidRPr="00781F07" w:rsidRDefault="006B2B61" w:rsidP="006B2B61">
      <w:pPr>
        <w:spacing w:after="0" w:line="240" w:lineRule="auto"/>
        <w:ind w:left="1985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Новороссийск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B8136C" w:rsidRPr="00781F07" w:rsidRDefault="00B8136C" w:rsidP="004D743F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</w:p>
    <w:sectPr w:rsidR="00B8136C" w:rsidRPr="00781F07" w:rsidSect="00781F07">
      <w:pgSz w:w="11906" w:h="16838" w:code="9"/>
      <w:pgMar w:top="1134" w:right="0" w:bottom="992" w:left="0" w:header="1134" w:footer="113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95"/>
    <w:rsid w:val="000511EE"/>
    <w:rsid w:val="001109AF"/>
    <w:rsid w:val="00150D7A"/>
    <w:rsid w:val="001553EA"/>
    <w:rsid w:val="002504E1"/>
    <w:rsid w:val="002E00DE"/>
    <w:rsid w:val="002E511F"/>
    <w:rsid w:val="0045583D"/>
    <w:rsid w:val="004D743F"/>
    <w:rsid w:val="00502F46"/>
    <w:rsid w:val="005243A5"/>
    <w:rsid w:val="00580FC6"/>
    <w:rsid w:val="006007A0"/>
    <w:rsid w:val="006559D0"/>
    <w:rsid w:val="006A6A35"/>
    <w:rsid w:val="006B2B61"/>
    <w:rsid w:val="00747CF7"/>
    <w:rsid w:val="007647AA"/>
    <w:rsid w:val="00781F07"/>
    <w:rsid w:val="007B68B4"/>
    <w:rsid w:val="007D005C"/>
    <w:rsid w:val="0091406A"/>
    <w:rsid w:val="00930869"/>
    <w:rsid w:val="00975EFA"/>
    <w:rsid w:val="009A45A9"/>
    <w:rsid w:val="009A5595"/>
    <w:rsid w:val="009D5399"/>
    <w:rsid w:val="009F586F"/>
    <w:rsid w:val="00A72FBC"/>
    <w:rsid w:val="00AF0089"/>
    <w:rsid w:val="00B8136C"/>
    <w:rsid w:val="00C76DD4"/>
    <w:rsid w:val="00D31983"/>
    <w:rsid w:val="00E0502D"/>
    <w:rsid w:val="00E4460E"/>
    <w:rsid w:val="00EB26F5"/>
    <w:rsid w:val="00EE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729CC-1917-4A7A-917C-741E65FF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0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0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3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8</Pages>
  <Words>2707</Words>
  <Characters>15432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</cp:revision>
  <cp:lastPrinted>2023-04-05T08:37:00Z</cp:lastPrinted>
  <dcterms:created xsi:type="dcterms:W3CDTF">2023-03-17T06:09:00Z</dcterms:created>
  <dcterms:modified xsi:type="dcterms:W3CDTF">2024-01-11T05:59:00Z</dcterms:modified>
</cp:coreProperties>
</file>